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000" w:firstRow="0" w:lastRow="0" w:firstColumn="0" w:lastColumn="0" w:noHBand="0" w:noVBand="0"/>
      </w:tblPr>
      <w:tblGrid>
        <w:gridCol w:w="3119"/>
        <w:gridCol w:w="6237"/>
      </w:tblGrid>
      <w:tr w:rsidR="00FE5DDF" w:rsidRPr="00F27D78" w:rsidTr="00C014DD">
        <w:trPr>
          <w:trHeight w:val="1008"/>
        </w:trPr>
        <w:tc>
          <w:tcPr>
            <w:tcW w:w="3119" w:type="dxa"/>
          </w:tcPr>
          <w:p w:rsidR="00FE5DDF" w:rsidRPr="00F27D78" w:rsidRDefault="00FE5DDF" w:rsidP="00B847D0">
            <w:pPr>
              <w:pStyle w:val="Footer"/>
              <w:tabs>
                <w:tab w:val="left" w:pos="720"/>
              </w:tabs>
              <w:jc w:val="center"/>
              <w:rPr>
                <w:rFonts w:ascii="Times New Roman" w:hAnsi="Times New Roman"/>
                <w:sz w:val="24"/>
                <w:szCs w:val="24"/>
              </w:rPr>
            </w:pPr>
            <w:bookmarkStart w:id="0" w:name="_GoBack"/>
            <w:bookmarkEnd w:id="0"/>
            <w:r w:rsidRPr="00F27D78">
              <w:rPr>
                <w:rFonts w:ascii="Times New Roman" w:hAnsi="Times New Roman"/>
                <w:sz w:val="24"/>
                <w:szCs w:val="24"/>
              </w:rPr>
              <w:t>UBND TỈNH HÀ TĨNH</w:t>
            </w:r>
          </w:p>
          <w:p w:rsidR="00FE5DDF" w:rsidRPr="00F27D78" w:rsidRDefault="00FE5DDF" w:rsidP="00B847D0">
            <w:pPr>
              <w:pStyle w:val="Footer"/>
              <w:tabs>
                <w:tab w:val="left" w:pos="720"/>
              </w:tabs>
              <w:jc w:val="center"/>
              <w:rPr>
                <w:rFonts w:ascii="Times New Roman" w:hAnsi="Times New Roman"/>
                <w:bCs/>
              </w:rPr>
            </w:pPr>
            <w:r w:rsidRPr="00F27D78">
              <w:rPr>
                <w:rFonts w:ascii="Times New Roman" w:hAnsi="Times New Roman"/>
                <w:b/>
                <w:sz w:val="26"/>
                <w:szCs w:val="26"/>
              </w:rPr>
              <w:t>THANH TRA TỈNH</w:t>
            </w:r>
          </w:p>
          <w:p w:rsidR="00FE5DDF" w:rsidRPr="00E66075" w:rsidRDefault="000D7E6B" w:rsidP="00B847D0">
            <w:pPr>
              <w:pStyle w:val="Footer"/>
              <w:tabs>
                <w:tab w:val="left" w:pos="720"/>
              </w:tabs>
              <w:jc w:val="center"/>
              <w:rPr>
                <w:rFonts w:ascii="Times New Roman" w:hAnsi="Times New Roman"/>
                <w:bCs/>
              </w:rPr>
            </w:pPr>
            <w:r>
              <w:rPr>
                <w:rFonts w:ascii="Times New Roman" w:hAnsi="Times New Roman"/>
                <w:b/>
                <w:noProof/>
              </w:rPr>
              <mc:AlternateContent>
                <mc:Choice Requires="wps">
                  <w:drawing>
                    <wp:anchor distT="4294967292" distB="4294967292" distL="114300" distR="114300" simplePos="0" relativeHeight="251662336" behindDoc="0" locked="0" layoutInCell="1" allowOverlap="1">
                      <wp:simplePos x="0" y="0"/>
                      <wp:positionH relativeFrom="column">
                        <wp:posOffset>579120</wp:posOffset>
                      </wp:positionH>
                      <wp:positionV relativeFrom="paragraph">
                        <wp:posOffset>29845</wp:posOffset>
                      </wp:positionV>
                      <wp:extent cx="591185" cy="0"/>
                      <wp:effectExtent l="8890" t="10160" r="9525"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5.6pt;margin-top:2.35pt;width:46.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Ju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"/>
                  </w:pict>
                </mc:Fallback>
              </mc:AlternateContent>
            </w:r>
          </w:p>
          <w:p w:rsidR="00FE5DDF" w:rsidRPr="00F27D78" w:rsidRDefault="00FE5DDF" w:rsidP="00070C0A">
            <w:pPr>
              <w:pStyle w:val="Footer"/>
              <w:tabs>
                <w:tab w:val="left" w:pos="720"/>
              </w:tabs>
              <w:spacing w:before="120"/>
              <w:jc w:val="center"/>
              <w:rPr>
                <w:rFonts w:ascii="Times New Roman" w:hAnsi="Times New Roman"/>
                <w:b/>
                <w:i/>
                <w:iCs/>
                <w:sz w:val="26"/>
                <w:szCs w:val="26"/>
              </w:rPr>
            </w:pPr>
            <w:r w:rsidRPr="00F27D78">
              <w:rPr>
                <w:rFonts w:ascii="Times New Roman" w:hAnsi="Times New Roman"/>
                <w:bCs/>
                <w:sz w:val="26"/>
                <w:szCs w:val="26"/>
              </w:rPr>
              <w:t>Số:</w:t>
            </w:r>
            <w:r w:rsidR="000D7E6B">
              <w:rPr>
                <w:rFonts w:ascii="Times New Roman" w:hAnsi="Times New Roman"/>
                <w:bCs/>
                <w:sz w:val="26"/>
                <w:szCs w:val="26"/>
              </w:rPr>
              <w:t xml:space="preserve"> 28</w:t>
            </w:r>
            <w:r w:rsidRPr="00F27D78">
              <w:rPr>
                <w:rFonts w:ascii="Times New Roman" w:hAnsi="Times New Roman"/>
                <w:bCs/>
                <w:sz w:val="26"/>
                <w:szCs w:val="26"/>
              </w:rPr>
              <w:t>/KL-TT</w:t>
            </w:r>
            <w:r w:rsidR="000D7E6B">
              <w:rPr>
                <w:rFonts w:ascii="Times New Roman" w:hAnsi="Times New Roman"/>
                <w:b/>
                <w:i/>
                <w:noProof/>
                <w:sz w:val="26"/>
                <w:szCs w:val="26"/>
              </w:rPr>
              <mc:AlternateContent>
                <mc:Choice Requires="wps">
                  <w:drawing>
                    <wp:anchor distT="4294967292" distB="4294967292" distL="114281" distR="114281" simplePos="0" relativeHeight="251659264" behindDoc="0" locked="0" layoutInCell="1" allowOverlap="1">
                      <wp:simplePos x="0" y="0"/>
                      <wp:positionH relativeFrom="column">
                        <wp:posOffset>297815</wp:posOffset>
                      </wp:positionH>
                      <wp:positionV relativeFrom="paragraph">
                        <wp:posOffset>370840</wp:posOffset>
                      </wp:positionV>
                      <wp:extent cx="0" cy="0"/>
                      <wp:effectExtent l="13335" t="12700" r="5715" b="63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3.17447mm;mso-wrap-distance-top:-1e-4mm;mso-wrap-distance-right:3.17447mm;mso-wrap-distance-bottom:-1e-4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"/>
                  </w:pict>
                </mc:Fallback>
              </mc:AlternateContent>
            </w:r>
          </w:p>
        </w:tc>
        <w:tc>
          <w:tcPr>
            <w:tcW w:w="6237" w:type="dxa"/>
          </w:tcPr>
          <w:p w:rsidR="00FE5DDF" w:rsidRPr="00F27D78" w:rsidRDefault="00FE5DDF" w:rsidP="00B847D0">
            <w:pPr>
              <w:jc w:val="center"/>
              <w:rPr>
                <w:b/>
                <w:sz w:val="26"/>
                <w:szCs w:val="26"/>
              </w:rPr>
            </w:pPr>
            <w:r w:rsidRPr="00F27D78">
              <w:rPr>
                <w:b/>
                <w:sz w:val="26"/>
                <w:szCs w:val="26"/>
              </w:rPr>
              <w:t xml:space="preserve">     CỘNG HOÀ XÃ HỘI CHỦ NGHĨA VIỆT NAM</w:t>
            </w:r>
          </w:p>
          <w:p w:rsidR="00FE5DDF" w:rsidRPr="00F27D78" w:rsidRDefault="00481F07" w:rsidP="00B847D0">
            <w:pPr>
              <w:pStyle w:val="Heading9"/>
              <w:spacing w:before="0"/>
            </w:pPr>
            <w:r>
              <w:rPr>
                <w:bCs/>
                <w:iCs/>
              </w:rPr>
              <w:t xml:space="preserve">      </w:t>
            </w:r>
            <w:r w:rsidR="00FE5DDF" w:rsidRPr="00F27D78">
              <w:rPr>
                <w:rFonts w:hint="eastAsia"/>
                <w:bCs/>
                <w:iCs/>
              </w:rPr>
              <w:t>Đ</w:t>
            </w:r>
            <w:r w:rsidR="00FE5DDF" w:rsidRPr="00F27D78">
              <w:rPr>
                <w:bCs/>
                <w:iCs/>
              </w:rPr>
              <w:t>ộc lập - Tự do - Hạnh phúc</w:t>
            </w:r>
          </w:p>
          <w:p w:rsidR="00FE5DDF" w:rsidRPr="00E66075" w:rsidRDefault="000D7E6B" w:rsidP="00B847D0">
            <w:pPr>
              <w:jc w:val="center"/>
              <w:rPr>
                <w:i/>
                <w:iCs/>
                <w:sz w:val="26"/>
                <w:szCs w:val="26"/>
              </w:rPr>
            </w:pPr>
            <w:r>
              <w:rPr>
                <w:noProof/>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973455</wp:posOffset>
                      </wp:positionH>
                      <wp:positionV relativeFrom="paragraph">
                        <wp:posOffset>48895</wp:posOffset>
                      </wp:positionV>
                      <wp:extent cx="2124075" cy="0"/>
                      <wp:effectExtent l="12065" t="10795" r="6985"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6.65pt;margin-top:3.85pt;width:167.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PK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Mkmefo4xYh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"/>
                  </w:pict>
                </mc:Fallback>
              </mc:AlternateContent>
            </w:r>
          </w:p>
          <w:p w:rsidR="00402501" w:rsidRDefault="00481F07" w:rsidP="000D7E6B">
            <w:pPr>
              <w:spacing w:before="120"/>
              <w:jc w:val="center"/>
              <w:rPr>
                <w:i/>
                <w:iCs/>
                <w:sz w:val="28"/>
                <w:szCs w:val="28"/>
              </w:rPr>
            </w:pPr>
            <w:r>
              <w:rPr>
                <w:i/>
                <w:iCs/>
                <w:sz w:val="28"/>
                <w:szCs w:val="28"/>
              </w:rPr>
              <w:t xml:space="preserve">  </w:t>
            </w:r>
            <w:r w:rsidR="000D7E6B">
              <w:rPr>
                <w:i/>
                <w:iCs/>
                <w:sz w:val="28"/>
                <w:szCs w:val="28"/>
              </w:rPr>
              <w:t xml:space="preserve">        </w:t>
            </w:r>
            <w:r>
              <w:rPr>
                <w:i/>
                <w:iCs/>
                <w:sz w:val="28"/>
                <w:szCs w:val="28"/>
              </w:rPr>
              <w:t xml:space="preserve">  </w:t>
            </w:r>
            <w:r w:rsidR="00FE5DDF" w:rsidRPr="00F27D78">
              <w:rPr>
                <w:i/>
                <w:iCs/>
                <w:sz w:val="28"/>
                <w:szCs w:val="28"/>
              </w:rPr>
              <w:t>Hà Tĩnh, ngày</w:t>
            </w:r>
            <w:r w:rsidR="000D7E6B">
              <w:rPr>
                <w:i/>
                <w:iCs/>
                <w:sz w:val="28"/>
                <w:szCs w:val="28"/>
              </w:rPr>
              <w:t xml:space="preserve"> 29</w:t>
            </w:r>
            <w:r>
              <w:rPr>
                <w:i/>
                <w:iCs/>
                <w:sz w:val="28"/>
                <w:szCs w:val="28"/>
              </w:rPr>
              <w:t xml:space="preserve"> </w:t>
            </w:r>
            <w:r w:rsidR="008A55E6">
              <w:rPr>
                <w:i/>
                <w:iCs/>
                <w:sz w:val="28"/>
                <w:szCs w:val="28"/>
              </w:rPr>
              <w:t>tháng</w:t>
            </w:r>
            <w:r>
              <w:rPr>
                <w:i/>
                <w:iCs/>
                <w:sz w:val="28"/>
                <w:szCs w:val="28"/>
              </w:rPr>
              <w:t xml:space="preserve"> </w:t>
            </w:r>
            <w:r w:rsidR="00070C0A">
              <w:rPr>
                <w:i/>
                <w:iCs/>
                <w:sz w:val="28"/>
                <w:szCs w:val="28"/>
              </w:rPr>
              <w:t>9</w:t>
            </w:r>
            <w:r>
              <w:rPr>
                <w:i/>
                <w:iCs/>
                <w:sz w:val="28"/>
                <w:szCs w:val="28"/>
              </w:rPr>
              <w:t xml:space="preserve"> </w:t>
            </w:r>
            <w:r w:rsidR="00FE5DDF" w:rsidRPr="00F27D78">
              <w:rPr>
                <w:i/>
                <w:iCs/>
                <w:sz w:val="28"/>
                <w:szCs w:val="28"/>
              </w:rPr>
              <w:t>năm 202</w:t>
            </w:r>
            <w:r w:rsidR="008A55E6">
              <w:rPr>
                <w:i/>
                <w:iCs/>
                <w:sz w:val="28"/>
                <w:szCs w:val="28"/>
              </w:rPr>
              <w:t>1</w:t>
            </w:r>
          </w:p>
        </w:tc>
      </w:tr>
    </w:tbl>
    <w:p w:rsidR="003E60A6" w:rsidRDefault="003E60A6" w:rsidP="00FE5DDF">
      <w:pPr>
        <w:pStyle w:val="Heading9"/>
        <w:spacing w:before="0"/>
        <w:rPr>
          <w:bCs/>
          <w:sz w:val="26"/>
          <w:szCs w:val="26"/>
          <w:bdr w:val="single" w:sz="4" w:space="0" w:color="auto"/>
        </w:rPr>
      </w:pPr>
    </w:p>
    <w:p w:rsidR="00C014DD" w:rsidRPr="00C014DD" w:rsidRDefault="00C014DD" w:rsidP="00C014DD"/>
    <w:p w:rsidR="00FE5DDF" w:rsidRPr="00C33571" w:rsidRDefault="00D2019F" w:rsidP="00FE5DDF">
      <w:pPr>
        <w:pStyle w:val="Heading9"/>
        <w:spacing w:before="0"/>
        <w:rPr>
          <w:bCs/>
          <w:sz w:val="26"/>
          <w:szCs w:val="26"/>
        </w:rPr>
      </w:pPr>
      <w:r w:rsidRPr="00C33571">
        <w:rPr>
          <w:bCs/>
          <w:sz w:val="26"/>
          <w:szCs w:val="26"/>
        </w:rPr>
        <w:t>KẾT LUẬN THANH TRA</w:t>
      </w:r>
    </w:p>
    <w:p w:rsidR="00FE5DDF" w:rsidRPr="00605284" w:rsidRDefault="00D2019F" w:rsidP="00FE5DDF">
      <w:pPr>
        <w:jc w:val="center"/>
        <w:rPr>
          <w:b/>
          <w:sz w:val="26"/>
          <w:szCs w:val="28"/>
        </w:rPr>
      </w:pPr>
      <w:r w:rsidRPr="00605284">
        <w:rPr>
          <w:b/>
          <w:sz w:val="26"/>
          <w:szCs w:val="28"/>
        </w:rPr>
        <w:t>T</w:t>
      </w:r>
      <w:r w:rsidRPr="00605284">
        <w:rPr>
          <w:b/>
          <w:sz w:val="26"/>
          <w:szCs w:val="28"/>
          <w:lang w:val="nl-NL"/>
        </w:rPr>
        <w:t xml:space="preserve">ại </w:t>
      </w:r>
      <w:r w:rsidR="00DE4140" w:rsidRPr="00605284">
        <w:rPr>
          <w:b/>
          <w:sz w:val="26"/>
          <w:szCs w:val="28"/>
        </w:rPr>
        <w:t xml:space="preserve">Công ty </w:t>
      </w:r>
      <w:r w:rsidR="00070C0A" w:rsidRPr="00605284">
        <w:rPr>
          <w:b/>
          <w:sz w:val="26"/>
          <w:szCs w:val="28"/>
        </w:rPr>
        <w:t>TNHH Một thành viên Bia Sài Gòn - Hà Tĩnh</w:t>
      </w:r>
    </w:p>
    <w:p w:rsidR="00F05255" w:rsidRDefault="000D7E6B" w:rsidP="00B12D72">
      <w:pPr>
        <w:spacing w:before="60" w:after="60"/>
        <w:ind w:firstLine="539"/>
        <w:jc w:val="center"/>
        <w:rPr>
          <w:sz w:val="28"/>
          <w:szCs w:val="28"/>
        </w:rPr>
      </w:pPr>
      <w:r>
        <w:rPr>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2470150</wp:posOffset>
                </wp:positionH>
                <wp:positionV relativeFrom="paragraph">
                  <wp:posOffset>51435</wp:posOffset>
                </wp:positionV>
                <wp:extent cx="913130" cy="0"/>
                <wp:effectExtent l="6985" t="9525" r="13335"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4.5pt,4.05pt" to="26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nq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"/>
            </w:pict>
          </mc:Fallback>
        </mc:AlternateContent>
      </w:r>
    </w:p>
    <w:p w:rsidR="00402501" w:rsidRDefault="00874FD7" w:rsidP="000D7E6B">
      <w:pPr>
        <w:tabs>
          <w:tab w:val="left" w:pos="5812"/>
        </w:tabs>
        <w:spacing w:after="100"/>
        <w:ind w:firstLine="567"/>
        <w:jc w:val="both"/>
        <w:rPr>
          <w:sz w:val="28"/>
          <w:szCs w:val="28"/>
          <w:lang w:val="nl-NL"/>
        </w:rPr>
      </w:pPr>
      <w:r w:rsidRPr="00577EF1">
        <w:rPr>
          <w:sz w:val="28"/>
          <w:szCs w:val="28"/>
        </w:rPr>
        <w:t xml:space="preserve">Thực hiện Quyết định số </w:t>
      </w:r>
      <w:r w:rsidR="00070C0A" w:rsidRPr="00577EF1">
        <w:rPr>
          <w:sz w:val="28"/>
          <w:szCs w:val="28"/>
        </w:rPr>
        <w:t>91/QĐ-TT ngày 29/7/2021</w:t>
      </w:r>
      <w:r w:rsidRPr="00577EF1">
        <w:rPr>
          <w:sz w:val="28"/>
          <w:szCs w:val="28"/>
        </w:rPr>
        <w:t xml:space="preserve"> của Chánh Thanh tra tỉnh về thanh tra việc chấp hành quy định của pháp luật về: Doanh nghiệp, đất đai, đầu tư xây dựng; thực hiện nghĩa vụ đối với Nhà nước và người lao động tại </w:t>
      </w:r>
      <w:r w:rsidR="00DE4140" w:rsidRPr="00577EF1">
        <w:rPr>
          <w:sz w:val="28"/>
          <w:szCs w:val="28"/>
        </w:rPr>
        <w:t xml:space="preserve">Công ty </w:t>
      </w:r>
      <w:r w:rsidR="00070C0A" w:rsidRPr="00577EF1">
        <w:rPr>
          <w:sz w:val="28"/>
          <w:szCs w:val="28"/>
        </w:rPr>
        <w:t>TNHH Một thành viên Bia Sài Gòn - Hà Tĩnh</w:t>
      </w:r>
      <w:r w:rsidR="00481F07">
        <w:rPr>
          <w:sz w:val="28"/>
          <w:szCs w:val="28"/>
        </w:rPr>
        <w:t xml:space="preserve"> </w:t>
      </w:r>
      <w:r w:rsidRPr="00577EF1">
        <w:rPr>
          <w:sz w:val="28"/>
          <w:szCs w:val="28"/>
        </w:rPr>
        <w:t>(sau đây viết tắt là Công ty) năm 2019, 2020;</w:t>
      </w:r>
      <w:r w:rsidR="00481F07">
        <w:rPr>
          <w:sz w:val="28"/>
          <w:szCs w:val="28"/>
        </w:rPr>
        <w:t xml:space="preserve"> </w:t>
      </w:r>
      <w:r w:rsidRPr="00577EF1">
        <w:rPr>
          <w:sz w:val="28"/>
          <w:szCs w:val="28"/>
        </w:rPr>
        <w:t>từ ngày</w:t>
      </w:r>
      <w:r w:rsidR="00481F07">
        <w:rPr>
          <w:sz w:val="28"/>
          <w:szCs w:val="28"/>
        </w:rPr>
        <w:t xml:space="preserve"> </w:t>
      </w:r>
      <w:r w:rsidR="00CF4FA6" w:rsidRPr="00577EF1">
        <w:rPr>
          <w:sz w:val="28"/>
          <w:szCs w:val="28"/>
        </w:rPr>
        <w:t>0</w:t>
      </w:r>
      <w:r w:rsidR="00837CF7" w:rsidRPr="00577EF1">
        <w:rPr>
          <w:sz w:val="28"/>
          <w:szCs w:val="28"/>
        </w:rPr>
        <w:t>9</w:t>
      </w:r>
      <w:r w:rsidRPr="00577EF1">
        <w:rPr>
          <w:sz w:val="28"/>
          <w:szCs w:val="28"/>
        </w:rPr>
        <w:t>/</w:t>
      </w:r>
      <w:r w:rsidR="00CF4FA6" w:rsidRPr="00577EF1">
        <w:rPr>
          <w:sz w:val="28"/>
          <w:szCs w:val="28"/>
        </w:rPr>
        <w:t>8</w:t>
      </w:r>
      <w:r w:rsidRPr="00577EF1">
        <w:rPr>
          <w:sz w:val="28"/>
          <w:szCs w:val="28"/>
        </w:rPr>
        <w:t xml:space="preserve">/2021 đến ngày </w:t>
      </w:r>
      <w:r w:rsidR="00CF4FA6" w:rsidRPr="00577EF1">
        <w:rPr>
          <w:sz w:val="28"/>
          <w:szCs w:val="28"/>
        </w:rPr>
        <w:t>20</w:t>
      </w:r>
      <w:r w:rsidRPr="00577EF1">
        <w:rPr>
          <w:sz w:val="28"/>
          <w:szCs w:val="28"/>
        </w:rPr>
        <w:t>/</w:t>
      </w:r>
      <w:r w:rsidR="00CF4FA6" w:rsidRPr="00577EF1">
        <w:rPr>
          <w:sz w:val="28"/>
          <w:szCs w:val="28"/>
        </w:rPr>
        <w:t>8</w:t>
      </w:r>
      <w:r w:rsidRPr="00577EF1">
        <w:rPr>
          <w:sz w:val="28"/>
          <w:szCs w:val="28"/>
        </w:rPr>
        <w:t xml:space="preserve">/2021, Đoàn thanh tra đã tiến hành thu thập hồ sơ, tài liệu, trực tiếp làm việc, kiểm tra </w:t>
      </w:r>
      <w:r w:rsidR="00B701D5">
        <w:rPr>
          <w:sz w:val="28"/>
          <w:szCs w:val="28"/>
        </w:rPr>
        <w:t xml:space="preserve">tại </w:t>
      </w:r>
      <w:r w:rsidRPr="00577EF1">
        <w:rPr>
          <w:sz w:val="28"/>
          <w:szCs w:val="28"/>
        </w:rPr>
        <w:t>Công ty.</w:t>
      </w:r>
    </w:p>
    <w:p w:rsidR="00402501" w:rsidRDefault="000D7E6B" w:rsidP="000D7E6B">
      <w:pPr>
        <w:spacing w:after="100"/>
        <w:ind w:firstLine="567"/>
        <w:jc w:val="both"/>
        <w:rPr>
          <w:sz w:val="28"/>
          <w:szCs w:val="28"/>
          <w:lang w:val="nl-NL"/>
        </w:rPr>
      </w:pPr>
      <w:r>
        <w:rPr>
          <w:noProof/>
          <w:sz w:val="28"/>
          <w:szCs w:val="28"/>
        </w:rPr>
        <mc:AlternateContent>
          <mc:Choice Requires="wps">
            <w:drawing>
              <wp:anchor distT="4294967292" distB="4294967292" distL="114300" distR="114300" simplePos="0" relativeHeight="251666432" behindDoc="0" locked="0" layoutInCell="1" allowOverlap="1">
                <wp:simplePos x="0" y="0"/>
                <wp:positionH relativeFrom="column">
                  <wp:posOffset>6892290</wp:posOffset>
                </wp:positionH>
                <wp:positionV relativeFrom="paragraph">
                  <wp:posOffset>67310</wp:posOffset>
                </wp:positionV>
                <wp:extent cx="1063625" cy="0"/>
                <wp:effectExtent l="9525" t="5715" r="12700"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7pt,5.3pt" to="626.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2Q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"/>
            </w:pict>
          </mc:Fallback>
        </mc:AlternateContent>
      </w:r>
      <w:r w:rsidR="00874FD7" w:rsidRPr="00577EF1">
        <w:rPr>
          <w:sz w:val="28"/>
          <w:szCs w:val="28"/>
          <w:lang w:val="nl-NL"/>
        </w:rPr>
        <w:t xml:space="preserve">Xét Báo cáo kết quả thanh tra số </w:t>
      </w:r>
      <w:r w:rsidR="00EC49C7" w:rsidRPr="00577EF1">
        <w:rPr>
          <w:sz w:val="28"/>
          <w:szCs w:val="28"/>
          <w:lang w:val="nl-NL"/>
        </w:rPr>
        <w:t>03</w:t>
      </w:r>
      <w:r w:rsidR="00874FD7" w:rsidRPr="00577EF1">
        <w:rPr>
          <w:sz w:val="28"/>
          <w:szCs w:val="28"/>
          <w:lang w:val="nl-NL"/>
        </w:rPr>
        <w:t xml:space="preserve">/BC-ĐTT ngày </w:t>
      </w:r>
      <w:r w:rsidR="00EC49C7" w:rsidRPr="00577EF1">
        <w:rPr>
          <w:sz w:val="28"/>
          <w:szCs w:val="28"/>
          <w:lang w:val="nl-NL"/>
        </w:rPr>
        <w:t>30</w:t>
      </w:r>
      <w:r w:rsidR="00874FD7" w:rsidRPr="00577EF1">
        <w:rPr>
          <w:sz w:val="28"/>
          <w:szCs w:val="28"/>
          <w:lang w:val="nl-NL"/>
        </w:rPr>
        <w:t>/</w:t>
      </w:r>
      <w:r w:rsidR="00EC49C7" w:rsidRPr="00577EF1">
        <w:rPr>
          <w:sz w:val="28"/>
          <w:szCs w:val="28"/>
          <w:lang w:val="nl-NL"/>
        </w:rPr>
        <w:t>8</w:t>
      </w:r>
      <w:r w:rsidR="00874FD7" w:rsidRPr="00577EF1">
        <w:rPr>
          <w:sz w:val="28"/>
          <w:szCs w:val="28"/>
          <w:lang w:val="nl-NL"/>
        </w:rPr>
        <w:t xml:space="preserve">/2021 của Trưởng Đoàn thanh tra; các hồ sơ tài liệu liên quan; Chánh Thanh tra tỉnh kết luận như sau: </w:t>
      </w:r>
    </w:p>
    <w:p w:rsidR="00402501" w:rsidRDefault="00874FD7" w:rsidP="000D7E6B">
      <w:pPr>
        <w:spacing w:after="100"/>
        <w:ind w:firstLine="567"/>
        <w:jc w:val="both"/>
        <w:rPr>
          <w:b/>
          <w:sz w:val="26"/>
          <w:szCs w:val="28"/>
          <w:lang w:val="nl-NL"/>
        </w:rPr>
      </w:pPr>
      <w:r w:rsidRPr="00E76B24">
        <w:rPr>
          <w:b/>
          <w:sz w:val="26"/>
          <w:szCs w:val="28"/>
          <w:lang w:val="nl-NL"/>
        </w:rPr>
        <w:t>I. KHÁI QUÁT CHUNG</w:t>
      </w:r>
    </w:p>
    <w:p w:rsidR="00402501" w:rsidRDefault="00DE4140" w:rsidP="000D7E6B">
      <w:pPr>
        <w:spacing w:after="100"/>
        <w:ind w:firstLine="567"/>
        <w:jc w:val="both"/>
        <w:rPr>
          <w:rFonts w:asciiTheme="majorHAnsi" w:hAnsiTheme="majorHAnsi" w:cstheme="majorHAnsi"/>
          <w:sz w:val="28"/>
          <w:szCs w:val="28"/>
          <w:lang w:val="nl-NL"/>
        </w:rPr>
      </w:pPr>
      <w:r w:rsidRPr="00577EF1">
        <w:rPr>
          <w:rFonts w:asciiTheme="majorHAnsi" w:hAnsiTheme="majorHAnsi" w:cstheme="majorHAnsi"/>
          <w:sz w:val="28"/>
          <w:szCs w:val="28"/>
          <w:lang w:val="nl-NL"/>
        </w:rPr>
        <w:t xml:space="preserve">Công ty </w:t>
      </w:r>
      <w:r w:rsidR="00070C0A" w:rsidRPr="00577EF1">
        <w:rPr>
          <w:rFonts w:asciiTheme="majorHAnsi" w:hAnsiTheme="majorHAnsi" w:cstheme="majorHAnsi"/>
          <w:sz w:val="28"/>
          <w:szCs w:val="28"/>
          <w:lang w:val="nl-NL"/>
        </w:rPr>
        <w:t>TNHH Một thành viên Bia Sài Gòn - Hà Tĩnh</w:t>
      </w:r>
      <w:r w:rsidR="00874FD7" w:rsidRPr="00577EF1">
        <w:rPr>
          <w:rFonts w:asciiTheme="majorHAnsi" w:hAnsiTheme="majorHAnsi" w:cstheme="majorHAnsi"/>
          <w:iCs/>
          <w:sz w:val="28"/>
          <w:szCs w:val="28"/>
          <w:lang w:val="nl-NL"/>
        </w:rPr>
        <w:t xml:space="preserve"> hoạt động theo</w:t>
      </w:r>
      <w:r w:rsidR="00874FD7" w:rsidRPr="00577EF1">
        <w:rPr>
          <w:rFonts w:asciiTheme="majorHAnsi" w:hAnsiTheme="majorHAnsi" w:cstheme="majorHAnsi"/>
          <w:sz w:val="28"/>
          <w:szCs w:val="28"/>
          <w:lang w:val="nl-NL"/>
        </w:rPr>
        <w:t xml:space="preserve"> Giấy chứng nhận đăng ký doanh nghiệp do Sở Kế hoạch và Đầu tư Hà Tĩnh cấp, đăng ký lần đầu ngày </w:t>
      </w:r>
      <w:r w:rsidR="000D302F" w:rsidRPr="00577EF1">
        <w:rPr>
          <w:sz w:val="28"/>
          <w:szCs w:val="28"/>
          <w:lang w:val="nl-NL"/>
        </w:rPr>
        <w:t>11</w:t>
      </w:r>
      <w:r w:rsidR="0095779A" w:rsidRPr="00577EF1">
        <w:rPr>
          <w:sz w:val="28"/>
          <w:szCs w:val="28"/>
          <w:lang w:val="nl-NL"/>
        </w:rPr>
        <w:t>/</w:t>
      </w:r>
      <w:r w:rsidR="000D302F" w:rsidRPr="00577EF1">
        <w:rPr>
          <w:sz w:val="28"/>
          <w:szCs w:val="28"/>
          <w:lang w:val="nl-NL"/>
        </w:rPr>
        <w:t>9</w:t>
      </w:r>
      <w:r w:rsidR="0095779A" w:rsidRPr="00577EF1">
        <w:rPr>
          <w:sz w:val="28"/>
          <w:szCs w:val="28"/>
          <w:lang w:val="nl-NL"/>
        </w:rPr>
        <w:t>/</w:t>
      </w:r>
      <w:r w:rsidR="000D302F" w:rsidRPr="00577EF1">
        <w:rPr>
          <w:sz w:val="28"/>
          <w:szCs w:val="28"/>
          <w:lang w:val="nl-NL"/>
        </w:rPr>
        <w:t>2012</w:t>
      </w:r>
      <w:r w:rsidR="00874FD7" w:rsidRPr="00577EF1">
        <w:rPr>
          <w:rFonts w:asciiTheme="majorHAnsi" w:hAnsiTheme="majorHAnsi" w:cstheme="majorHAnsi"/>
          <w:sz w:val="28"/>
          <w:szCs w:val="28"/>
          <w:lang w:val="nl-NL"/>
        </w:rPr>
        <w:t>; đăng ký tha</w:t>
      </w:r>
      <w:r w:rsidR="0095779A" w:rsidRPr="00577EF1">
        <w:rPr>
          <w:rFonts w:asciiTheme="majorHAnsi" w:hAnsiTheme="majorHAnsi" w:cstheme="majorHAnsi"/>
          <w:sz w:val="28"/>
          <w:szCs w:val="28"/>
          <w:lang w:val="nl-NL"/>
        </w:rPr>
        <w:t xml:space="preserve">y đổi lần thứ </w:t>
      </w:r>
      <w:r w:rsidR="000D302F" w:rsidRPr="00577EF1">
        <w:rPr>
          <w:rFonts w:asciiTheme="majorHAnsi" w:hAnsiTheme="majorHAnsi" w:cstheme="majorHAnsi"/>
          <w:sz w:val="28"/>
          <w:szCs w:val="28"/>
          <w:lang w:val="nl-NL"/>
        </w:rPr>
        <w:t xml:space="preserve">2 </w:t>
      </w:r>
      <w:r w:rsidR="0095779A" w:rsidRPr="00577EF1">
        <w:rPr>
          <w:rFonts w:asciiTheme="majorHAnsi" w:hAnsiTheme="majorHAnsi" w:cstheme="majorHAnsi"/>
          <w:sz w:val="28"/>
          <w:szCs w:val="28"/>
          <w:lang w:val="nl-NL"/>
        </w:rPr>
        <w:t xml:space="preserve">ngày </w:t>
      </w:r>
      <w:r w:rsidR="000D302F" w:rsidRPr="00577EF1">
        <w:rPr>
          <w:rFonts w:asciiTheme="majorHAnsi" w:hAnsiTheme="majorHAnsi" w:cstheme="majorHAnsi"/>
          <w:sz w:val="28"/>
          <w:szCs w:val="28"/>
          <w:lang w:val="nl-NL"/>
        </w:rPr>
        <w:t>25</w:t>
      </w:r>
      <w:r w:rsidR="00874FD7" w:rsidRPr="00577EF1">
        <w:rPr>
          <w:rFonts w:asciiTheme="majorHAnsi" w:hAnsiTheme="majorHAnsi" w:cstheme="majorHAnsi"/>
          <w:sz w:val="28"/>
          <w:szCs w:val="28"/>
          <w:lang w:val="nl-NL"/>
        </w:rPr>
        <w:t>/</w:t>
      </w:r>
      <w:r w:rsidR="000D302F" w:rsidRPr="00577EF1">
        <w:rPr>
          <w:rFonts w:asciiTheme="majorHAnsi" w:hAnsiTheme="majorHAnsi" w:cstheme="majorHAnsi"/>
          <w:sz w:val="28"/>
          <w:szCs w:val="28"/>
          <w:lang w:val="nl-NL"/>
        </w:rPr>
        <w:t>5</w:t>
      </w:r>
      <w:r w:rsidR="00874FD7" w:rsidRPr="00577EF1">
        <w:rPr>
          <w:rFonts w:asciiTheme="majorHAnsi" w:hAnsiTheme="majorHAnsi" w:cstheme="majorHAnsi"/>
          <w:sz w:val="28"/>
          <w:szCs w:val="28"/>
          <w:lang w:val="nl-NL"/>
        </w:rPr>
        <w:t>/20</w:t>
      </w:r>
      <w:r w:rsidR="0095779A" w:rsidRPr="00577EF1">
        <w:rPr>
          <w:rFonts w:asciiTheme="majorHAnsi" w:hAnsiTheme="majorHAnsi" w:cstheme="majorHAnsi"/>
          <w:sz w:val="28"/>
          <w:szCs w:val="28"/>
          <w:lang w:val="nl-NL"/>
        </w:rPr>
        <w:t>20</w:t>
      </w:r>
      <w:r w:rsidR="00874FD7" w:rsidRPr="00577EF1">
        <w:rPr>
          <w:rFonts w:asciiTheme="majorHAnsi" w:hAnsiTheme="majorHAnsi" w:cstheme="majorHAnsi"/>
          <w:sz w:val="28"/>
          <w:szCs w:val="28"/>
          <w:lang w:val="nl-NL"/>
        </w:rPr>
        <w:t xml:space="preserve">, mã số doanh nghiệp/mã số thuế: </w:t>
      </w:r>
      <w:r w:rsidR="000D302F" w:rsidRPr="00B701D5">
        <w:rPr>
          <w:sz w:val="28"/>
          <w:szCs w:val="28"/>
          <w:lang w:val="nl-NL"/>
        </w:rPr>
        <w:t>3001650260</w:t>
      </w:r>
      <w:r w:rsidR="00874FD7" w:rsidRPr="00577EF1">
        <w:rPr>
          <w:rFonts w:asciiTheme="majorHAnsi" w:hAnsiTheme="majorHAnsi" w:cstheme="majorHAnsi"/>
          <w:sz w:val="28"/>
          <w:szCs w:val="28"/>
          <w:lang w:val="nl-NL"/>
        </w:rPr>
        <w:t>; v</w:t>
      </w:r>
      <w:r w:rsidR="00874FD7" w:rsidRPr="00577EF1">
        <w:rPr>
          <w:rFonts w:asciiTheme="majorHAnsi" w:hAnsiTheme="majorHAnsi" w:cstheme="majorHAnsi"/>
          <w:sz w:val="28"/>
          <w:szCs w:val="28"/>
          <w:lang w:val="vi-VN"/>
        </w:rPr>
        <w:t xml:space="preserve">ốn điều lệ </w:t>
      </w:r>
      <w:r w:rsidR="000D302F" w:rsidRPr="00577EF1">
        <w:rPr>
          <w:rFonts w:asciiTheme="majorHAnsi" w:hAnsiTheme="majorHAnsi" w:cstheme="majorHAnsi"/>
          <w:sz w:val="28"/>
          <w:szCs w:val="28"/>
          <w:lang w:val="nl-NL"/>
        </w:rPr>
        <w:t xml:space="preserve">120 </w:t>
      </w:r>
      <w:r w:rsidR="00874FD7" w:rsidRPr="00577EF1">
        <w:rPr>
          <w:rFonts w:asciiTheme="majorHAnsi" w:hAnsiTheme="majorHAnsi" w:cstheme="majorHAnsi"/>
          <w:sz w:val="28"/>
          <w:szCs w:val="28"/>
          <w:lang w:val="nl-NL"/>
        </w:rPr>
        <w:t xml:space="preserve">tỷ </w:t>
      </w:r>
      <w:r w:rsidR="00874FD7" w:rsidRPr="00577EF1">
        <w:rPr>
          <w:rFonts w:asciiTheme="majorHAnsi" w:hAnsiTheme="majorHAnsi" w:cstheme="majorHAnsi"/>
          <w:sz w:val="28"/>
          <w:szCs w:val="28"/>
          <w:lang w:val="vi-VN"/>
        </w:rPr>
        <w:t>đồng</w:t>
      </w:r>
      <w:r w:rsidR="00874FD7" w:rsidRPr="00577EF1">
        <w:rPr>
          <w:rFonts w:asciiTheme="majorHAnsi" w:hAnsiTheme="majorHAnsi" w:cstheme="majorHAnsi"/>
          <w:sz w:val="28"/>
          <w:szCs w:val="28"/>
          <w:lang w:val="nl-NL"/>
        </w:rPr>
        <w:t>.</w:t>
      </w:r>
    </w:p>
    <w:p w:rsidR="00402501" w:rsidRDefault="00874FD7" w:rsidP="000D7E6B">
      <w:pPr>
        <w:spacing w:after="100"/>
        <w:ind w:firstLine="567"/>
        <w:jc w:val="both"/>
        <w:rPr>
          <w:sz w:val="28"/>
          <w:szCs w:val="28"/>
          <w:lang w:val="nl-NL"/>
        </w:rPr>
      </w:pPr>
      <w:r w:rsidRPr="00577EF1">
        <w:rPr>
          <w:sz w:val="28"/>
          <w:szCs w:val="28"/>
          <w:lang w:val="nl-NL"/>
        </w:rPr>
        <w:t xml:space="preserve">Địa chỉ trụ sở chính: </w:t>
      </w:r>
      <w:r w:rsidR="000D302F" w:rsidRPr="00BC74E8">
        <w:rPr>
          <w:iCs/>
          <w:sz w:val="28"/>
          <w:szCs w:val="28"/>
          <w:lang w:val="vi-VN"/>
        </w:rPr>
        <w:t xml:space="preserve">Km </w:t>
      </w:r>
      <w:r w:rsidR="000D302F" w:rsidRPr="00B701D5">
        <w:rPr>
          <w:iCs/>
          <w:sz w:val="28"/>
          <w:szCs w:val="28"/>
          <w:lang w:val="nl-NL"/>
        </w:rPr>
        <w:t>12 đường tránh thành phố Hà Tĩnh</w:t>
      </w:r>
      <w:r w:rsidR="000D302F" w:rsidRPr="00BC74E8">
        <w:rPr>
          <w:iCs/>
          <w:sz w:val="28"/>
          <w:szCs w:val="28"/>
          <w:lang w:val="vi-VN"/>
        </w:rPr>
        <w:t xml:space="preserve">, xã </w:t>
      </w:r>
      <w:r w:rsidR="000D302F" w:rsidRPr="00B701D5">
        <w:rPr>
          <w:iCs/>
          <w:sz w:val="28"/>
          <w:szCs w:val="28"/>
          <w:lang w:val="nl-NL"/>
        </w:rPr>
        <w:t>Tân Lâm Hương</w:t>
      </w:r>
      <w:r w:rsidR="000D302F" w:rsidRPr="00BC74E8">
        <w:rPr>
          <w:iCs/>
          <w:sz w:val="28"/>
          <w:szCs w:val="28"/>
          <w:lang w:val="vi-VN"/>
        </w:rPr>
        <w:t>, huyện Thạch Hà, tỉnh Hà Tĩnh</w:t>
      </w:r>
      <w:r w:rsidRPr="00577EF1">
        <w:rPr>
          <w:rFonts w:asciiTheme="majorHAnsi" w:hAnsiTheme="majorHAnsi" w:cstheme="majorHAnsi"/>
          <w:sz w:val="28"/>
          <w:szCs w:val="28"/>
          <w:lang w:val="nl-NL"/>
        </w:rPr>
        <w:t xml:space="preserve">; </w:t>
      </w:r>
      <w:r w:rsidRPr="00577EF1">
        <w:rPr>
          <w:sz w:val="28"/>
          <w:szCs w:val="28"/>
          <w:lang w:val="nl-NL"/>
        </w:rPr>
        <w:t>n</w:t>
      </w:r>
      <w:r w:rsidRPr="00577EF1">
        <w:rPr>
          <w:sz w:val="28"/>
          <w:szCs w:val="28"/>
          <w:lang w:val="vi-VN"/>
        </w:rPr>
        <w:t>gười đại diện theo pháp luật</w:t>
      </w:r>
      <w:r w:rsidRPr="00577EF1">
        <w:rPr>
          <w:sz w:val="28"/>
          <w:szCs w:val="28"/>
          <w:lang w:val="nl-NL"/>
        </w:rPr>
        <w:t>: Ông</w:t>
      </w:r>
      <w:r w:rsidR="00481F07">
        <w:rPr>
          <w:sz w:val="28"/>
          <w:szCs w:val="28"/>
          <w:lang w:val="nl-NL"/>
        </w:rPr>
        <w:t xml:space="preserve"> </w:t>
      </w:r>
      <w:r w:rsidR="000D302F" w:rsidRPr="00BC74E8">
        <w:rPr>
          <w:sz w:val="28"/>
          <w:szCs w:val="28"/>
          <w:lang w:val="vi-VN"/>
        </w:rPr>
        <w:t>Nguyễn Văn Toàn</w:t>
      </w:r>
      <w:r w:rsidR="00AD43EB" w:rsidRPr="000D7E6B">
        <w:rPr>
          <w:sz w:val="28"/>
          <w:szCs w:val="28"/>
          <w:vertAlign w:val="superscript"/>
          <w:lang w:val="nl-NL"/>
        </w:rPr>
        <w:t>(</w:t>
      </w:r>
      <w:r w:rsidR="000D302F" w:rsidRPr="00BC74E8">
        <w:rPr>
          <w:rStyle w:val="FootnoteReference"/>
          <w:sz w:val="28"/>
          <w:szCs w:val="28"/>
          <w:lang w:val="vi-VN"/>
        </w:rPr>
        <w:footnoteReference w:id="1"/>
      </w:r>
      <w:r w:rsidR="00AD43EB" w:rsidRPr="000D7E6B">
        <w:rPr>
          <w:sz w:val="28"/>
          <w:szCs w:val="28"/>
          <w:vertAlign w:val="superscript"/>
          <w:lang w:val="nl-NL"/>
        </w:rPr>
        <w:t>)</w:t>
      </w:r>
      <w:r w:rsidRPr="00577EF1">
        <w:rPr>
          <w:sz w:val="28"/>
          <w:szCs w:val="28"/>
          <w:lang w:val="vi-VN"/>
        </w:rPr>
        <w:t>.</w:t>
      </w:r>
    </w:p>
    <w:p w:rsidR="00402501" w:rsidRDefault="00874FD7" w:rsidP="000D7E6B">
      <w:pPr>
        <w:spacing w:after="100"/>
        <w:ind w:firstLine="567"/>
        <w:jc w:val="both"/>
        <w:rPr>
          <w:sz w:val="28"/>
          <w:szCs w:val="28"/>
          <w:lang w:val="nl-NL"/>
        </w:rPr>
      </w:pPr>
      <w:r w:rsidRPr="00577EF1">
        <w:rPr>
          <w:sz w:val="28"/>
          <w:szCs w:val="28"/>
          <w:lang w:val="vi-VN"/>
        </w:rPr>
        <w:t xml:space="preserve">Công ty </w:t>
      </w:r>
      <w:r w:rsidRPr="00577EF1">
        <w:rPr>
          <w:sz w:val="28"/>
          <w:szCs w:val="28"/>
          <w:lang w:val="nl-NL"/>
        </w:rPr>
        <w:t>đăng ký</w:t>
      </w:r>
      <w:r w:rsidR="00481F07">
        <w:rPr>
          <w:sz w:val="28"/>
          <w:szCs w:val="28"/>
          <w:lang w:val="nl-NL"/>
        </w:rPr>
        <w:t xml:space="preserve"> </w:t>
      </w:r>
      <w:r w:rsidR="000D302F" w:rsidRPr="00B701D5">
        <w:rPr>
          <w:sz w:val="28"/>
          <w:szCs w:val="28"/>
          <w:lang w:val="nl-NL"/>
        </w:rPr>
        <w:t>07</w:t>
      </w:r>
      <w:r w:rsidR="000D302F" w:rsidRPr="00BC74E8">
        <w:rPr>
          <w:sz w:val="28"/>
          <w:szCs w:val="28"/>
          <w:lang w:val="vi-VN"/>
        </w:rPr>
        <w:t xml:space="preserve"> ngành nghề kinh doanh, trong đó ngành nghề chính là</w:t>
      </w:r>
      <w:r w:rsidR="000D302F" w:rsidRPr="00BC74E8">
        <w:rPr>
          <w:sz w:val="28"/>
          <w:szCs w:val="28"/>
          <w:lang w:val="nl-NL"/>
        </w:rPr>
        <w:t>: Sản xuất bia và mạch nha ủ men bia.</w:t>
      </w:r>
    </w:p>
    <w:p w:rsidR="00402501" w:rsidRDefault="00874FD7" w:rsidP="000D7E6B">
      <w:pPr>
        <w:spacing w:after="100"/>
        <w:ind w:firstLine="567"/>
        <w:jc w:val="both"/>
        <w:rPr>
          <w:sz w:val="28"/>
          <w:szCs w:val="28"/>
          <w:lang w:val="nl-NL"/>
        </w:rPr>
      </w:pPr>
      <w:r w:rsidRPr="00577EF1">
        <w:rPr>
          <w:sz w:val="28"/>
          <w:szCs w:val="28"/>
          <w:lang w:val="vi-VN"/>
        </w:rPr>
        <w:t>Bộ máy quản lý</w:t>
      </w:r>
      <w:r w:rsidRPr="00577EF1">
        <w:rPr>
          <w:sz w:val="28"/>
          <w:szCs w:val="28"/>
          <w:lang w:val="nl-NL"/>
        </w:rPr>
        <w:t xml:space="preserve"> gồm</w:t>
      </w:r>
      <w:r w:rsidRPr="00577EF1">
        <w:rPr>
          <w:sz w:val="28"/>
          <w:szCs w:val="28"/>
          <w:lang w:val="vi-VN"/>
        </w:rPr>
        <w:t xml:space="preserve">: </w:t>
      </w:r>
      <w:r w:rsidR="000D302F" w:rsidRPr="00BC74E8">
        <w:rPr>
          <w:sz w:val="28"/>
          <w:szCs w:val="28"/>
          <w:lang w:val="nl-NL"/>
        </w:rPr>
        <w:t xml:space="preserve">Hội đồng thành viên, </w:t>
      </w:r>
      <w:r w:rsidR="00AD43EB">
        <w:rPr>
          <w:sz w:val="28"/>
          <w:szCs w:val="28"/>
          <w:lang w:val="nl-NL"/>
        </w:rPr>
        <w:t>C</w:t>
      </w:r>
      <w:r w:rsidR="000D302F" w:rsidRPr="00BC74E8">
        <w:rPr>
          <w:sz w:val="28"/>
          <w:szCs w:val="28"/>
          <w:lang w:val="nl-NL"/>
        </w:rPr>
        <w:t xml:space="preserve">hủ tịch HĐTV, Ban Kiểm soát, Tổng Giám đốc, Phó Tổng giám đốc, 04 phòng: Kế toán </w:t>
      </w:r>
      <w:r w:rsidR="005B4D24">
        <w:rPr>
          <w:sz w:val="28"/>
          <w:szCs w:val="28"/>
          <w:lang w:val="nl-NL"/>
        </w:rPr>
        <w:t>-</w:t>
      </w:r>
      <w:r w:rsidR="000D302F" w:rsidRPr="00BC74E8">
        <w:rPr>
          <w:sz w:val="28"/>
          <w:szCs w:val="28"/>
          <w:lang w:val="nl-NL"/>
        </w:rPr>
        <w:t xml:space="preserve"> Thống kê, Kỷ thuật, Kế hoạch </w:t>
      </w:r>
      <w:r w:rsidR="005B4D24">
        <w:rPr>
          <w:sz w:val="28"/>
          <w:szCs w:val="28"/>
          <w:lang w:val="nl-NL"/>
        </w:rPr>
        <w:t>-</w:t>
      </w:r>
      <w:r w:rsidR="000D302F" w:rsidRPr="00BC74E8">
        <w:rPr>
          <w:sz w:val="28"/>
          <w:szCs w:val="28"/>
          <w:lang w:val="nl-NL"/>
        </w:rPr>
        <w:t xml:space="preserve"> Cung tiêu, Hành chính - Nhân sự; 03 phân xưởng: Động lực, Chiết, Nấu - Men </w:t>
      </w:r>
      <w:r w:rsidR="005B4D24">
        <w:rPr>
          <w:sz w:val="28"/>
          <w:szCs w:val="28"/>
          <w:lang w:val="nl-NL"/>
        </w:rPr>
        <w:t>-</w:t>
      </w:r>
      <w:r w:rsidR="000D302F" w:rsidRPr="00BC74E8">
        <w:rPr>
          <w:sz w:val="28"/>
          <w:szCs w:val="28"/>
          <w:lang w:val="nl-NL"/>
        </w:rPr>
        <w:t xml:space="preserve"> Lọc. </w:t>
      </w:r>
      <w:r w:rsidRPr="00577EF1">
        <w:rPr>
          <w:sz w:val="28"/>
          <w:szCs w:val="28"/>
          <w:lang w:val="nl-NL"/>
        </w:rPr>
        <w:t>Tổng số lao động</w:t>
      </w:r>
      <w:r w:rsidR="00B303A3">
        <w:rPr>
          <w:sz w:val="28"/>
          <w:szCs w:val="28"/>
          <w:lang w:val="nl-NL"/>
        </w:rPr>
        <w:t xml:space="preserve"> </w:t>
      </w:r>
      <w:r w:rsidRPr="00577EF1">
        <w:rPr>
          <w:sz w:val="28"/>
          <w:szCs w:val="28"/>
          <w:lang w:val="nl-NL"/>
        </w:rPr>
        <w:t>có đến thời điểm cuối năm 2020:</w:t>
      </w:r>
      <w:r w:rsidR="00B303A3">
        <w:rPr>
          <w:sz w:val="28"/>
          <w:szCs w:val="28"/>
          <w:lang w:val="nl-NL"/>
        </w:rPr>
        <w:t xml:space="preserve"> </w:t>
      </w:r>
      <w:r w:rsidR="00915DD2" w:rsidRPr="00E76B24">
        <w:rPr>
          <w:sz w:val="28"/>
          <w:szCs w:val="28"/>
          <w:lang w:val="nl-NL"/>
        </w:rPr>
        <w:t>1</w:t>
      </w:r>
      <w:r w:rsidR="00605284" w:rsidRPr="00E76B24">
        <w:rPr>
          <w:sz w:val="28"/>
          <w:szCs w:val="28"/>
          <w:lang w:val="nl-NL"/>
        </w:rPr>
        <w:t>14</w:t>
      </w:r>
      <w:r w:rsidR="00B303A3">
        <w:rPr>
          <w:sz w:val="28"/>
          <w:szCs w:val="28"/>
          <w:lang w:val="nl-NL"/>
        </w:rPr>
        <w:t xml:space="preserve"> </w:t>
      </w:r>
      <w:r w:rsidRPr="00605284">
        <w:rPr>
          <w:sz w:val="28"/>
          <w:szCs w:val="28"/>
          <w:lang w:val="vi-VN"/>
        </w:rPr>
        <w:t>người</w:t>
      </w:r>
      <w:r w:rsidRPr="00577EF1">
        <w:rPr>
          <w:sz w:val="28"/>
          <w:szCs w:val="28"/>
          <w:lang w:val="nl-NL"/>
        </w:rPr>
        <w:t>.</w:t>
      </w:r>
    </w:p>
    <w:p w:rsidR="00402501" w:rsidRDefault="00874FD7" w:rsidP="000D7E6B">
      <w:pPr>
        <w:spacing w:after="100"/>
        <w:ind w:firstLine="567"/>
        <w:jc w:val="both"/>
        <w:rPr>
          <w:rFonts w:asciiTheme="majorHAnsi" w:hAnsiTheme="majorHAnsi" w:cstheme="majorHAnsi"/>
          <w:sz w:val="28"/>
          <w:szCs w:val="28"/>
          <w:lang w:val="nl-NL"/>
        </w:rPr>
      </w:pPr>
      <w:r w:rsidRPr="00577EF1">
        <w:rPr>
          <w:sz w:val="28"/>
          <w:szCs w:val="28"/>
          <w:lang w:val="vi-VN"/>
        </w:rPr>
        <w:t>Nơi đăng ký kê khai và nộp thuế:</w:t>
      </w:r>
      <w:r w:rsidRPr="00577EF1">
        <w:rPr>
          <w:sz w:val="28"/>
          <w:szCs w:val="28"/>
          <w:lang w:val="nl-NL"/>
        </w:rPr>
        <w:t xml:space="preserve"> Cục Thuế tỉnh</w:t>
      </w:r>
      <w:r w:rsidR="00472E76" w:rsidRPr="00577EF1">
        <w:rPr>
          <w:sz w:val="28"/>
          <w:szCs w:val="28"/>
          <w:lang w:val="nl-NL"/>
        </w:rPr>
        <w:t>; h</w:t>
      </w:r>
      <w:r w:rsidRPr="00577EF1">
        <w:rPr>
          <w:sz w:val="28"/>
          <w:szCs w:val="28"/>
          <w:lang w:val="vi-VN"/>
        </w:rPr>
        <w:t xml:space="preserve">ình thức kê khai nộp thuế GTGT: </w:t>
      </w:r>
      <w:r w:rsidR="00472E76" w:rsidRPr="00577EF1">
        <w:rPr>
          <w:sz w:val="28"/>
          <w:szCs w:val="28"/>
          <w:lang w:val="nl-NL"/>
        </w:rPr>
        <w:t>T</w:t>
      </w:r>
      <w:r w:rsidRPr="00577EF1">
        <w:rPr>
          <w:sz w:val="28"/>
          <w:szCs w:val="28"/>
          <w:lang w:val="nl-NL"/>
        </w:rPr>
        <w:t>heo phương pháp khấu trừ</w:t>
      </w:r>
      <w:r w:rsidR="00481F07">
        <w:rPr>
          <w:sz w:val="28"/>
          <w:szCs w:val="28"/>
          <w:lang w:val="nl-NL"/>
        </w:rPr>
        <w:t xml:space="preserve"> </w:t>
      </w:r>
      <w:r w:rsidRPr="00577EF1">
        <w:rPr>
          <w:rFonts w:asciiTheme="majorHAnsi" w:hAnsiTheme="majorHAnsi" w:cstheme="majorHAnsi"/>
          <w:sz w:val="28"/>
          <w:szCs w:val="28"/>
          <w:lang w:val="nl-NL"/>
        </w:rPr>
        <w:t xml:space="preserve">định kỳ hằng </w:t>
      </w:r>
      <w:r w:rsidR="00472E76" w:rsidRPr="00577EF1">
        <w:rPr>
          <w:rFonts w:asciiTheme="majorHAnsi" w:hAnsiTheme="majorHAnsi" w:cstheme="majorHAnsi"/>
          <w:sz w:val="28"/>
          <w:szCs w:val="28"/>
          <w:lang w:val="nl-NL"/>
        </w:rPr>
        <w:t>tháng</w:t>
      </w:r>
      <w:r w:rsidR="0005356E" w:rsidRPr="00577EF1">
        <w:rPr>
          <w:rFonts w:asciiTheme="majorHAnsi" w:hAnsiTheme="majorHAnsi" w:cstheme="majorHAnsi"/>
          <w:sz w:val="28"/>
          <w:szCs w:val="28"/>
          <w:lang w:val="nl-NL"/>
        </w:rPr>
        <w:t>.</w:t>
      </w:r>
    </w:p>
    <w:p w:rsidR="00402501" w:rsidRDefault="001D010A" w:rsidP="000D7E6B">
      <w:pPr>
        <w:spacing w:after="100"/>
        <w:ind w:firstLine="567"/>
        <w:jc w:val="both"/>
        <w:rPr>
          <w:sz w:val="28"/>
          <w:szCs w:val="28"/>
          <w:lang w:val="nl-NL"/>
        </w:rPr>
      </w:pPr>
      <w:r w:rsidRPr="00577EF1">
        <w:rPr>
          <w:sz w:val="28"/>
          <w:szCs w:val="28"/>
          <w:lang w:val="nl-NL"/>
        </w:rPr>
        <w:t>Thời kỳ kiểm tra Công ty mở 0</w:t>
      </w:r>
      <w:r w:rsidR="000D302F" w:rsidRPr="00577EF1">
        <w:rPr>
          <w:sz w:val="28"/>
          <w:szCs w:val="28"/>
          <w:lang w:val="nl-NL"/>
        </w:rPr>
        <w:t>5</w:t>
      </w:r>
      <w:r w:rsidRPr="00577EF1">
        <w:rPr>
          <w:sz w:val="28"/>
          <w:szCs w:val="28"/>
          <w:lang w:val="nl-NL"/>
        </w:rPr>
        <w:t xml:space="preserve"> t</w:t>
      </w:r>
      <w:r w:rsidRPr="00577EF1">
        <w:rPr>
          <w:sz w:val="28"/>
          <w:szCs w:val="28"/>
          <w:lang w:val="vi-VN"/>
        </w:rPr>
        <w:t>ài khoản giao dịch</w:t>
      </w:r>
      <w:r w:rsidRPr="00577EF1">
        <w:rPr>
          <w:sz w:val="28"/>
          <w:szCs w:val="28"/>
          <w:lang w:val="nl-NL"/>
        </w:rPr>
        <w:t xml:space="preserve"> ngân hàng</w:t>
      </w:r>
      <w:r w:rsidR="00AD43EB">
        <w:rPr>
          <w:sz w:val="28"/>
          <w:szCs w:val="28"/>
          <w:vertAlign w:val="superscript"/>
          <w:lang w:val="nl-NL"/>
        </w:rPr>
        <w:t>(</w:t>
      </w:r>
      <w:r w:rsidRPr="00577EF1">
        <w:rPr>
          <w:rStyle w:val="FootnoteReference"/>
          <w:sz w:val="28"/>
          <w:szCs w:val="28"/>
          <w:lang w:val="nl-NL"/>
        </w:rPr>
        <w:footnoteReference w:id="2"/>
      </w:r>
      <w:r w:rsidR="00AD43EB">
        <w:rPr>
          <w:sz w:val="28"/>
          <w:szCs w:val="28"/>
          <w:vertAlign w:val="superscript"/>
          <w:lang w:val="nl-NL"/>
        </w:rPr>
        <w:t>)</w:t>
      </w:r>
      <w:r w:rsidRPr="00577EF1">
        <w:rPr>
          <w:sz w:val="28"/>
          <w:szCs w:val="28"/>
          <w:lang w:val="nl-NL"/>
        </w:rPr>
        <w:t>.</w:t>
      </w:r>
    </w:p>
    <w:p w:rsidR="00402501" w:rsidRDefault="00874FD7" w:rsidP="000D7E6B">
      <w:pPr>
        <w:spacing w:after="100"/>
        <w:ind w:firstLine="567"/>
        <w:jc w:val="both"/>
        <w:rPr>
          <w:b/>
          <w:bCs/>
          <w:sz w:val="26"/>
          <w:szCs w:val="28"/>
          <w:lang w:val="sv-SE"/>
        </w:rPr>
      </w:pPr>
      <w:r w:rsidRPr="00E76B24">
        <w:rPr>
          <w:b/>
          <w:bCs/>
          <w:sz w:val="26"/>
          <w:szCs w:val="28"/>
          <w:lang w:val="sv-SE"/>
        </w:rPr>
        <w:t>II. KẾT QUẢ KIỂM TRA, XÁC MINH</w:t>
      </w:r>
    </w:p>
    <w:p w:rsidR="00402501" w:rsidRDefault="00874FD7" w:rsidP="000D7E6B">
      <w:pPr>
        <w:spacing w:after="100"/>
        <w:ind w:firstLine="567"/>
        <w:jc w:val="both"/>
        <w:rPr>
          <w:rFonts w:asciiTheme="majorHAnsi" w:hAnsiTheme="majorHAnsi" w:cstheme="majorHAnsi"/>
          <w:bCs/>
          <w:sz w:val="28"/>
          <w:szCs w:val="28"/>
          <w:lang w:val="sv-SE"/>
        </w:rPr>
      </w:pPr>
      <w:r w:rsidRPr="00577EF1">
        <w:rPr>
          <w:b/>
          <w:bCs/>
          <w:sz w:val="28"/>
          <w:szCs w:val="28"/>
          <w:lang w:val="sv-SE"/>
        </w:rPr>
        <w:t>1. Việc chấp hành pháp luật về doanh nghiệp</w:t>
      </w:r>
    </w:p>
    <w:p w:rsidR="00402501" w:rsidRDefault="007D2185" w:rsidP="000D7E6B">
      <w:pPr>
        <w:spacing w:after="100"/>
        <w:ind w:firstLine="567"/>
        <w:jc w:val="both"/>
        <w:rPr>
          <w:sz w:val="28"/>
          <w:szCs w:val="28"/>
          <w:lang w:val="nl-NL"/>
        </w:rPr>
      </w:pPr>
      <w:r w:rsidRPr="00BC74E8">
        <w:rPr>
          <w:sz w:val="28"/>
          <w:szCs w:val="28"/>
          <w:lang w:val="nl-NL"/>
        </w:rPr>
        <w:lastRenderedPageBreak/>
        <w:t xml:space="preserve">Công ty thực hiện kinh doanh đúng ngành nghề đăng ký, thực hiện việc thông báo thay đổi đăng ký kinh doanh đầy đủ, kịp thời khi có biến động. Tuy nhiên qua kiểm tra còn một số tồn tại: </w:t>
      </w:r>
    </w:p>
    <w:p w:rsidR="00402501" w:rsidRDefault="007D2185" w:rsidP="000D7E6B">
      <w:pPr>
        <w:spacing w:after="100"/>
        <w:ind w:firstLine="567"/>
        <w:jc w:val="both"/>
        <w:rPr>
          <w:sz w:val="28"/>
          <w:szCs w:val="28"/>
          <w:lang w:val="nl-NL"/>
        </w:rPr>
      </w:pPr>
      <w:r w:rsidRPr="00BC74E8">
        <w:rPr>
          <w:sz w:val="28"/>
          <w:szCs w:val="28"/>
          <w:lang w:val="nl-NL"/>
        </w:rPr>
        <w:t xml:space="preserve">- Chủ tịch HĐQT Tổng công ty CP </w:t>
      </w:r>
      <w:r w:rsidRPr="00B701D5">
        <w:rPr>
          <w:sz w:val="28"/>
          <w:szCs w:val="28"/>
          <w:lang w:val="nl-NL"/>
        </w:rPr>
        <w:t xml:space="preserve">Bia </w:t>
      </w:r>
      <w:r w:rsidR="005B4D24">
        <w:rPr>
          <w:sz w:val="28"/>
          <w:szCs w:val="28"/>
          <w:lang w:val="nl-NL"/>
        </w:rPr>
        <w:t>-</w:t>
      </w:r>
      <w:r w:rsidRPr="00B701D5">
        <w:rPr>
          <w:sz w:val="28"/>
          <w:szCs w:val="28"/>
          <w:lang w:val="nl-NL"/>
        </w:rPr>
        <w:t xml:space="preserve"> Rượu </w:t>
      </w:r>
      <w:r w:rsidR="005B4D24">
        <w:rPr>
          <w:sz w:val="28"/>
          <w:szCs w:val="28"/>
          <w:lang w:val="nl-NL"/>
        </w:rPr>
        <w:t>-</w:t>
      </w:r>
      <w:r w:rsidRPr="00B701D5">
        <w:rPr>
          <w:sz w:val="28"/>
          <w:szCs w:val="28"/>
          <w:lang w:val="nl-NL"/>
        </w:rPr>
        <w:t xml:space="preserve"> Nước giải khát Sài Gòn</w:t>
      </w:r>
      <w:r w:rsidR="00481F07">
        <w:rPr>
          <w:sz w:val="28"/>
          <w:szCs w:val="28"/>
          <w:lang w:val="nl-NL"/>
        </w:rPr>
        <w:t xml:space="preserve"> </w:t>
      </w:r>
      <w:r w:rsidR="005B4D24" w:rsidRPr="00BC74E8">
        <w:rPr>
          <w:rFonts w:asciiTheme="majorHAnsi" w:hAnsiTheme="majorHAnsi" w:cstheme="majorHAnsi"/>
          <w:sz w:val="28"/>
          <w:szCs w:val="28"/>
          <w:lang w:val="nl-NL"/>
        </w:rPr>
        <w:t>(Chủ sở hữu)</w:t>
      </w:r>
      <w:r w:rsidR="00481F07">
        <w:rPr>
          <w:rFonts w:asciiTheme="majorHAnsi" w:hAnsiTheme="majorHAnsi" w:cstheme="majorHAnsi"/>
          <w:sz w:val="28"/>
          <w:szCs w:val="28"/>
          <w:lang w:val="nl-NL"/>
        </w:rPr>
        <w:t xml:space="preserve"> </w:t>
      </w:r>
      <w:r w:rsidRPr="00BC74E8">
        <w:rPr>
          <w:sz w:val="28"/>
          <w:szCs w:val="28"/>
          <w:lang w:val="nl-NL"/>
        </w:rPr>
        <w:t xml:space="preserve">giao nhiệm vụ cho </w:t>
      </w:r>
      <w:r w:rsidR="00811F82">
        <w:rPr>
          <w:sz w:val="28"/>
          <w:szCs w:val="28"/>
          <w:lang w:val="nl-NL"/>
        </w:rPr>
        <w:t>người có q</w:t>
      </w:r>
      <w:r w:rsidRPr="00BC74E8">
        <w:rPr>
          <w:sz w:val="28"/>
          <w:szCs w:val="28"/>
          <w:lang w:val="nl-NL"/>
        </w:rPr>
        <w:t xml:space="preserve">uốc tịch </w:t>
      </w:r>
      <w:r w:rsidR="00811F82">
        <w:rPr>
          <w:sz w:val="28"/>
          <w:szCs w:val="28"/>
          <w:lang w:val="nl-NL"/>
        </w:rPr>
        <w:t>nước ngoài (</w:t>
      </w:r>
      <w:r w:rsidRPr="00BC74E8">
        <w:rPr>
          <w:sz w:val="28"/>
          <w:szCs w:val="28"/>
          <w:lang w:val="nl-NL"/>
        </w:rPr>
        <w:t>Singapo) làm chủ tịch HĐTV Công ty khi ông này không đáp ứng tiêu chuẩn theo Điều 24 Điều lệ Công ty (phải là người có quốc tịch Việt Nam)</w:t>
      </w:r>
      <w:r w:rsidR="00AD43EB">
        <w:rPr>
          <w:sz w:val="28"/>
          <w:szCs w:val="28"/>
          <w:lang w:val="nl-NL"/>
        </w:rPr>
        <w:t>.</w:t>
      </w:r>
    </w:p>
    <w:p w:rsidR="00402501" w:rsidRDefault="007D2185" w:rsidP="000D7E6B">
      <w:pPr>
        <w:spacing w:after="100"/>
        <w:ind w:firstLine="567"/>
        <w:jc w:val="both"/>
        <w:rPr>
          <w:rFonts w:asciiTheme="majorHAnsi" w:hAnsiTheme="majorHAnsi" w:cstheme="majorHAnsi"/>
          <w:sz w:val="28"/>
          <w:szCs w:val="28"/>
          <w:lang w:val="nl-NL"/>
        </w:rPr>
      </w:pPr>
      <w:r w:rsidRPr="00BC74E8">
        <w:rPr>
          <w:sz w:val="28"/>
          <w:szCs w:val="28"/>
          <w:lang w:val="nl-NL"/>
        </w:rPr>
        <w:t xml:space="preserve">- </w:t>
      </w:r>
      <w:r w:rsidRPr="00BC74E8">
        <w:rPr>
          <w:rFonts w:asciiTheme="majorHAnsi" w:hAnsiTheme="majorHAnsi" w:cstheme="majorHAnsi"/>
          <w:sz w:val="28"/>
          <w:szCs w:val="28"/>
          <w:lang w:val="nl-NL"/>
        </w:rPr>
        <w:t xml:space="preserve">Chủ tịch HĐQT Tổng </w:t>
      </w:r>
      <w:r w:rsidR="00AD43EB">
        <w:rPr>
          <w:rFonts w:asciiTheme="majorHAnsi" w:hAnsiTheme="majorHAnsi" w:cstheme="majorHAnsi"/>
          <w:sz w:val="28"/>
          <w:szCs w:val="28"/>
          <w:lang w:val="nl-NL"/>
        </w:rPr>
        <w:t>c</w:t>
      </w:r>
      <w:r w:rsidRPr="00BC74E8">
        <w:rPr>
          <w:rFonts w:asciiTheme="majorHAnsi" w:hAnsiTheme="majorHAnsi" w:cstheme="majorHAnsi"/>
          <w:sz w:val="28"/>
          <w:szCs w:val="28"/>
          <w:lang w:val="nl-NL"/>
        </w:rPr>
        <w:t xml:space="preserve">ông ty </w:t>
      </w:r>
      <w:r w:rsidRPr="00BC74E8">
        <w:rPr>
          <w:sz w:val="28"/>
          <w:szCs w:val="28"/>
          <w:lang w:val="nl-NL"/>
        </w:rPr>
        <w:t xml:space="preserve">CP </w:t>
      </w:r>
      <w:r w:rsidRPr="00B701D5">
        <w:rPr>
          <w:sz w:val="28"/>
          <w:szCs w:val="28"/>
          <w:lang w:val="nl-NL"/>
        </w:rPr>
        <w:t xml:space="preserve">Bia </w:t>
      </w:r>
      <w:r w:rsidR="005B4D24">
        <w:rPr>
          <w:sz w:val="28"/>
          <w:szCs w:val="28"/>
          <w:lang w:val="nl-NL"/>
        </w:rPr>
        <w:t>-</w:t>
      </w:r>
      <w:r w:rsidRPr="00B701D5">
        <w:rPr>
          <w:sz w:val="28"/>
          <w:szCs w:val="28"/>
          <w:lang w:val="nl-NL"/>
        </w:rPr>
        <w:t xml:space="preserve"> Rượu </w:t>
      </w:r>
      <w:r w:rsidR="005B4D24">
        <w:rPr>
          <w:sz w:val="28"/>
          <w:szCs w:val="28"/>
          <w:lang w:val="nl-NL"/>
        </w:rPr>
        <w:t>-</w:t>
      </w:r>
      <w:r w:rsidRPr="00B701D5">
        <w:rPr>
          <w:sz w:val="28"/>
          <w:szCs w:val="28"/>
          <w:lang w:val="nl-NL"/>
        </w:rPr>
        <w:t xml:space="preserve"> Nước giải khát Sài Gòn</w:t>
      </w:r>
      <w:r w:rsidR="00481F07">
        <w:rPr>
          <w:sz w:val="28"/>
          <w:szCs w:val="28"/>
          <w:lang w:val="nl-NL"/>
        </w:rPr>
        <w:t xml:space="preserve"> </w:t>
      </w:r>
      <w:r w:rsidRPr="00BC74E8">
        <w:rPr>
          <w:rFonts w:asciiTheme="majorHAnsi" w:hAnsiTheme="majorHAnsi" w:cstheme="majorHAnsi"/>
          <w:sz w:val="28"/>
          <w:szCs w:val="28"/>
          <w:lang w:val="nl-NL"/>
        </w:rPr>
        <w:t>bổ nhiệm và bổ nhiệm lại Tổng giám đốc Công ty</w:t>
      </w:r>
      <w:r w:rsidR="003E25B5">
        <w:rPr>
          <w:rFonts w:asciiTheme="majorHAnsi" w:hAnsiTheme="majorHAnsi" w:cstheme="majorHAnsi"/>
          <w:sz w:val="28"/>
          <w:szCs w:val="28"/>
          <w:lang w:val="nl-NL"/>
        </w:rPr>
        <w:t xml:space="preserve"> </w:t>
      </w:r>
      <w:r w:rsidR="00481F07">
        <w:rPr>
          <w:rFonts w:asciiTheme="majorHAnsi" w:hAnsiTheme="majorHAnsi" w:cstheme="majorHAnsi"/>
          <w:sz w:val="28"/>
          <w:szCs w:val="28"/>
          <w:lang w:val="nl-NL"/>
        </w:rPr>
        <w:t xml:space="preserve">theo </w:t>
      </w:r>
      <w:r w:rsidR="003E25B5">
        <w:rPr>
          <w:rFonts w:asciiTheme="majorHAnsi" w:hAnsiTheme="majorHAnsi" w:cstheme="majorHAnsi"/>
          <w:sz w:val="28"/>
          <w:szCs w:val="28"/>
          <w:lang w:val="nl-NL"/>
        </w:rPr>
        <w:t>thẩm quyền quy định tại</w:t>
      </w:r>
      <w:r w:rsidRPr="00BC74E8">
        <w:rPr>
          <w:rFonts w:asciiTheme="majorHAnsi" w:hAnsiTheme="majorHAnsi" w:cstheme="majorHAnsi"/>
          <w:sz w:val="28"/>
          <w:szCs w:val="28"/>
          <w:lang w:val="nl-NL"/>
        </w:rPr>
        <w:t xml:space="preserve"> Điều 25 Điều lệ</w:t>
      </w:r>
      <w:r w:rsidR="003E25B5">
        <w:rPr>
          <w:rFonts w:asciiTheme="majorHAnsi" w:hAnsiTheme="majorHAnsi" w:cstheme="majorHAnsi"/>
          <w:sz w:val="28"/>
          <w:szCs w:val="28"/>
          <w:lang w:val="nl-NL"/>
        </w:rPr>
        <w:t>. Tuy vậy</w:t>
      </w:r>
      <w:r w:rsidR="00481F07">
        <w:rPr>
          <w:rFonts w:asciiTheme="majorHAnsi" w:hAnsiTheme="majorHAnsi" w:cstheme="majorHAnsi"/>
          <w:sz w:val="28"/>
          <w:szCs w:val="28"/>
          <w:lang w:val="nl-NL"/>
        </w:rPr>
        <w:t xml:space="preserve">, </w:t>
      </w:r>
      <w:r w:rsidR="003E25B5">
        <w:rPr>
          <w:rFonts w:asciiTheme="majorHAnsi" w:hAnsiTheme="majorHAnsi" w:cstheme="majorHAnsi"/>
          <w:sz w:val="28"/>
          <w:szCs w:val="28"/>
          <w:lang w:val="nl-NL"/>
        </w:rPr>
        <w:t xml:space="preserve">theo </w:t>
      </w:r>
      <w:r w:rsidR="003E25B5" w:rsidRPr="00BC74E8">
        <w:rPr>
          <w:rFonts w:asciiTheme="majorHAnsi" w:hAnsiTheme="majorHAnsi" w:cstheme="majorHAnsi"/>
          <w:sz w:val="28"/>
          <w:szCs w:val="28"/>
          <w:lang w:val="nl-NL"/>
        </w:rPr>
        <w:t>Khoản 1, Điều 81, Luật Doanh nghiệp năm 2014</w:t>
      </w:r>
      <w:r w:rsidR="00BC5803">
        <w:rPr>
          <w:rFonts w:asciiTheme="majorHAnsi" w:hAnsiTheme="majorHAnsi" w:cstheme="majorHAnsi"/>
          <w:sz w:val="28"/>
          <w:szCs w:val="28"/>
          <w:lang w:val="nl-NL"/>
        </w:rPr>
        <w:t xml:space="preserve"> </w:t>
      </w:r>
      <w:r w:rsidR="003E25B5">
        <w:rPr>
          <w:rFonts w:asciiTheme="majorHAnsi" w:hAnsiTheme="majorHAnsi" w:cstheme="majorHAnsi"/>
          <w:sz w:val="28"/>
          <w:szCs w:val="28"/>
          <w:lang w:val="nl-NL"/>
        </w:rPr>
        <w:t>thẩm quyền bổ nhiệm Giám đốc Công ty là của Chủ tịch HĐTV</w:t>
      </w:r>
    </w:p>
    <w:p w:rsidR="00402501" w:rsidRDefault="007D2185" w:rsidP="000D7E6B">
      <w:pPr>
        <w:spacing w:after="100"/>
        <w:ind w:firstLine="567"/>
        <w:jc w:val="both"/>
        <w:rPr>
          <w:color w:val="000000"/>
          <w:sz w:val="28"/>
          <w:szCs w:val="28"/>
          <w:lang w:val="nl-NL"/>
        </w:rPr>
      </w:pPr>
      <w:r w:rsidRPr="00BC74E8">
        <w:rPr>
          <w:rFonts w:asciiTheme="majorHAnsi" w:hAnsiTheme="majorHAnsi" w:cstheme="majorHAnsi"/>
          <w:sz w:val="28"/>
          <w:szCs w:val="28"/>
          <w:lang w:val="nl-NL"/>
        </w:rPr>
        <w:t xml:space="preserve">- Theo khoản 2, Điều 43, Điều lệ </w:t>
      </w:r>
      <w:r w:rsidR="00AD43EB">
        <w:rPr>
          <w:rFonts w:asciiTheme="majorHAnsi" w:hAnsiTheme="majorHAnsi" w:cstheme="majorHAnsi"/>
          <w:sz w:val="28"/>
          <w:szCs w:val="28"/>
          <w:lang w:val="nl-NL"/>
        </w:rPr>
        <w:t>c</w:t>
      </w:r>
      <w:r w:rsidRPr="00BC74E8">
        <w:rPr>
          <w:rFonts w:asciiTheme="majorHAnsi" w:hAnsiTheme="majorHAnsi" w:cstheme="majorHAnsi"/>
          <w:sz w:val="28"/>
          <w:szCs w:val="28"/>
          <w:lang w:val="nl-NL"/>
        </w:rPr>
        <w:t xml:space="preserve">ông ty quy định: Chủ tịch </w:t>
      </w:r>
      <w:r w:rsidR="00AD43EB">
        <w:rPr>
          <w:rFonts w:asciiTheme="majorHAnsi" w:hAnsiTheme="majorHAnsi" w:cstheme="majorHAnsi"/>
          <w:sz w:val="28"/>
          <w:szCs w:val="28"/>
          <w:lang w:val="nl-NL"/>
        </w:rPr>
        <w:t>c</w:t>
      </w:r>
      <w:r w:rsidRPr="00BC74E8">
        <w:rPr>
          <w:rFonts w:asciiTheme="majorHAnsi" w:hAnsiTheme="majorHAnsi" w:cstheme="majorHAnsi"/>
          <w:sz w:val="28"/>
          <w:szCs w:val="28"/>
          <w:lang w:val="nl-NL"/>
        </w:rPr>
        <w:t xml:space="preserve">ông ty quyết định trích lập các quỹ theo quy định cụ thể trong Quy chế tài chính của Công ty. Tuy vậy, hằng năm Công ty chưa trích các quỹ đúng theo Quy chế tài chính đã ban hành, đồng thời, </w:t>
      </w:r>
      <w:r w:rsidR="005B4D24">
        <w:rPr>
          <w:rFonts w:asciiTheme="majorHAnsi" w:hAnsiTheme="majorHAnsi" w:cstheme="majorHAnsi"/>
          <w:sz w:val="28"/>
          <w:szCs w:val="28"/>
          <w:lang w:val="nl-NL"/>
        </w:rPr>
        <w:t>hằng</w:t>
      </w:r>
      <w:r w:rsidR="00481F07">
        <w:rPr>
          <w:rFonts w:asciiTheme="majorHAnsi" w:hAnsiTheme="majorHAnsi" w:cstheme="majorHAnsi"/>
          <w:sz w:val="28"/>
          <w:szCs w:val="28"/>
          <w:lang w:val="nl-NL"/>
        </w:rPr>
        <w:t xml:space="preserve"> </w:t>
      </w:r>
      <w:r w:rsidRPr="00BC74E8">
        <w:rPr>
          <w:rFonts w:asciiTheme="majorHAnsi" w:hAnsiTheme="majorHAnsi" w:cstheme="majorHAnsi"/>
          <w:sz w:val="28"/>
          <w:szCs w:val="28"/>
          <w:lang w:val="nl-NL"/>
        </w:rPr>
        <w:t>tháng trong năm 2020</w:t>
      </w:r>
      <w:r w:rsidR="005B4D24">
        <w:rPr>
          <w:rFonts w:asciiTheme="majorHAnsi" w:hAnsiTheme="majorHAnsi" w:cstheme="majorHAnsi"/>
          <w:sz w:val="28"/>
          <w:szCs w:val="28"/>
          <w:lang w:val="nl-NL"/>
        </w:rPr>
        <w:t>,</w:t>
      </w:r>
      <w:r w:rsidRPr="00BC74E8">
        <w:rPr>
          <w:rFonts w:asciiTheme="majorHAnsi" w:hAnsiTheme="majorHAnsi" w:cstheme="majorHAnsi"/>
          <w:sz w:val="28"/>
          <w:szCs w:val="28"/>
          <w:lang w:val="nl-NL"/>
        </w:rPr>
        <w:t xml:space="preserve"> Công ty đã chuyển số tiền </w:t>
      </w:r>
      <w:r w:rsidRPr="00B701D5">
        <w:rPr>
          <w:color w:val="000000"/>
          <w:sz w:val="28"/>
          <w:szCs w:val="28"/>
          <w:lang w:val="nl-NL"/>
        </w:rPr>
        <w:t>48.905.339.266 đồng lợi nhuận tạm tính từng tháng cho Tổng Công ty là chưa có quy định tại Quy chế tài chính Công ty;</w:t>
      </w:r>
    </w:p>
    <w:p w:rsidR="00402501" w:rsidRDefault="007D2185" w:rsidP="000D7E6B">
      <w:pPr>
        <w:spacing w:after="100"/>
        <w:ind w:firstLine="567"/>
        <w:jc w:val="both"/>
        <w:rPr>
          <w:sz w:val="28"/>
          <w:szCs w:val="28"/>
          <w:lang w:val="nl-NL"/>
        </w:rPr>
      </w:pPr>
      <w:r w:rsidRPr="00BC74E8">
        <w:rPr>
          <w:sz w:val="28"/>
          <w:szCs w:val="28"/>
          <w:lang w:val="nl-NL"/>
        </w:rPr>
        <w:t>- Một số quy chế được ban hành trước khi Nhà nước bán cổ phần, thoái vốn nhà nước tại</w:t>
      </w:r>
      <w:r w:rsidR="00481F07">
        <w:rPr>
          <w:sz w:val="28"/>
          <w:szCs w:val="28"/>
          <w:lang w:val="nl-NL"/>
        </w:rPr>
        <w:t xml:space="preserve"> </w:t>
      </w:r>
      <w:r w:rsidR="00B231EF">
        <w:rPr>
          <w:sz w:val="28"/>
          <w:szCs w:val="28"/>
          <w:lang w:val="nl-NL"/>
        </w:rPr>
        <w:t>Tổng</w:t>
      </w:r>
      <w:r w:rsidR="00481F07">
        <w:rPr>
          <w:sz w:val="28"/>
          <w:szCs w:val="28"/>
          <w:lang w:val="nl-NL"/>
        </w:rPr>
        <w:t xml:space="preserve"> </w:t>
      </w:r>
      <w:r w:rsidR="00B231EF">
        <w:rPr>
          <w:sz w:val="28"/>
          <w:szCs w:val="28"/>
          <w:lang w:val="nl-NL"/>
        </w:rPr>
        <w:t>c</w:t>
      </w:r>
      <w:r w:rsidRPr="00BC74E8">
        <w:rPr>
          <w:sz w:val="28"/>
          <w:szCs w:val="28"/>
          <w:lang w:val="nl-NL"/>
        </w:rPr>
        <w:t xml:space="preserve">ông ty Cổ phần </w:t>
      </w:r>
      <w:r w:rsidRPr="00B701D5">
        <w:rPr>
          <w:sz w:val="28"/>
          <w:szCs w:val="28"/>
          <w:lang w:val="nl-NL"/>
        </w:rPr>
        <w:t xml:space="preserve">Bia </w:t>
      </w:r>
      <w:r w:rsidR="00566A45">
        <w:rPr>
          <w:sz w:val="28"/>
          <w:szCs w:val="28"/>
          <w:lang w:val="nl-NL"/>
        </w:rPr>
        <w:t>-</w:t>
      </w:r>
      <w:r w:rsidRPr="00B701D5">
        <w:rPr>
          <w:sz w:val="28"/>
          <w:szCs w:val="28"/>
          <w:lang w:val="nl-NL"/>
        </w:rPr>
        <w:t xml:space="preserve"> Rượu </w:t>
      </w:r>
      <w:r w:rsidR="00566A45">
        <w:rPr>
          <w:sz w:val="28"/>
          <w:szCs w:val="28"/>
          <w:lang w:val="nl-NL"/>
        </w:rPr>
        <w:t>-</w:t>
      </w:r>
      <w:r w:rsidRPr="00B701D5">
        <w:rPr>
          <w:sz w:val="28"/>
          <w:szCs w:val="28"/>
          <w:lang w:val="nl-NL"/>
        </w:rPr>
        <w:t xml:space="preserve"> Nước giải khát Sài Gòn</w:t>
      </w:r>
      <w:r w:rsidRPr="00BC74E8">
        <w:rPr>
          <w:rFonts w:asciiTheme="majorHAnsi" w:hAnsiTheme="majorHAnsi" w:cstheme="majorHAnsi"/>
          <w:sz w:val="28"/>
          <w:szCs w:val="28"/>
          <w:lang w:val="nl-NL"/>
        </w:rPr>
        <w:t xml:space="preserve"> (</w:t>
      </w:r>
      <w:r w:rsidRPr="00BC74E8">
        <w:rPr>
          <w:sz w:val="28"/>
          <w:szCs w:val="28"/>
          <w:lang w:val="nl-NL"/>
        </w:rPr>
        <w:t>Công ty mẹ),</w:t>
      </w:r>
      <w:r w:rsidR="00481F07">
        <w:rPr>
          <w:sz w:val="28"/>
          <w:szCs w:val="28"/>
          <w:lang w:val="nl-NL"/>
        </w:rPr>
        <w:t xml:space="preserve"> </w:t>
      </w:r>
      <w:r w:rsidRPr="00BC74E8">
        <w:rPr>
          <w:sz w:val="28"/>
          <w:szCs w:val="28"/>
          <w:lang w:val="nl-NL"/>
        </w:rPr>
        <w:t>từ đó đến thời điểm hiện nay quy định pháp luật Việt Nam đã có nhiều thay đổi nhưng Chủ sở hữu, Hội đồng thành viên và Ban giám đốc Công ty chậm sửa đổi, bổ sung, thay thế các quy chế để phù hợp</w:t>
      </w:r>
      <w:r w:rsidR="00566A45">
        <w:rPr>
          <w:sz w:val="28"/>
          <w:szCs w:val="28"/>
          <w:lang w:val="nl-NL"/>
        </w:rPr>
        <w:t xml:space="preserve"> quy định hiện hành</w:t>
      </w:r>
      <w:r w:rsidRPr="00BC74E8">
        <w:rPr>
          <w:sz w:val="28"/>
          <w:szCs w:val="28"/>
          <w:lang w:val="nl-NL"/>
        </w:rPr>
        <w:t>.</w:t>
      </w:r>
    </w:p>
    <w:p w:rsidR="00402501" w:rsidRDefault="00874FD7" w:rsidP="000D7E6B">
      <w:pPr>
        <w:widowControl w:val="0"/>
        <w:spacing w:after="100"/>
        <w:ind w:firstLine="567"/>
        <w:jc w:val="both"/>
        <w:rPr>
          <w:b/>
          <w:sz w:val="28"/>
          <w:szCs w:val="28"/>
          <w:lang w:val="nl-NL"/>
        </w:rPr>
      </w:pPr>
      <w:r w:rsidRPr="00577EF1">
        <w:rPr>
          <w:b/>
          <w:sz w:val="28"/>
          <w:szCs w:val="28"/>
          <w:lang w:val="nl-NL"/>
        </w:rPr>
        <w:t>2. Việc thực hiện</w:t>
      </w:r>
      <w:r w:rsidR="00481F07">
        <w:rPr>
          <w:b/>
          <w:sz w:val="28"/>
          <w:szCs w:val="28"/>
          <w:lang w:val="nl-NL"/>
        </w:rPr>
        <w:t xml:space="preserve"> </w:t>
      </w:r>
      <w:r w:rsidRPr="00577EF1">
        <w:rPr>
          <w:b/>
          <w:sz w:val="28"/>
          <w:szCs w:val="28"/>
          <w:lang w:val="nl-NL"/>
        </w:rPr>
        <w:t xml:space="preserve">nghĩa vụ với Nhà nước năm </w:t>
      </w:r>
      <w:r w:rsidR="00A3348A" w:rsidRPr="00577EF1">
        <w:rPr>
          <w:b/>
          <w:sz w:val="28"/>
          <w:szCs w:val="28"/>
          <w:lang w:val="nl-NL"/>
        </w:rPr>
        <w:t xml:space="preserve">2019, </w:t>
      </w:r>
      <w:r w:rsidRPr="00577EF1">
        <w:rPr>
          <w:b/>
          <w:sz w:val="28"/>
          <w:szCs w:val="28"/>
          <w:lang w:val="nl-NL"/>
        </w:rPr>
        <w:t>2020</w:t>
      </w:r>
    </w:p>
    <w:p w:rsidR="00402501" w:rsidRDefault="007D2185" w:rsidP="000D7E6B">
      <w:pPr>
        <w:spacing w:after="100"/>
        <w:ind w:firstLine="567"/>
        <w:jc w:val="both"/>
        <w:rPr>
          <w:sz w:val="28"/>
          <w:szCs w:val="28"/>
          <w:lang w:val="vi-VN"/>
        </w:rPr>
      </w:pPr>
      <w:r w:rsidRPr="00BC74E8">
        <w:rPr>
          <w:sz w:val="28"/>
          <w:szCs w:val="28"/>
          <w:lang w:val="vi-VN"/>
        </w:rPr>
        <w:t xml:space="preserve">Cục </w:t>
      </w:r>
      <w:r w:rsidRPr="00BC74E8">
        <w:rPr>
          <w:sz w:val="28"/>
          <w:szCs w:val="28"/>
          <w:lang w:val="nl-NL"/>
        </w:rPr>
        <w:t>T</w:t>
      </w:r>
      <w:r w:rsidRPr="00BC74E8">
        <w:rPr>
          <w:sz w:val="28"/>
          <w:szCs w:val="28"/>
          <w:lang w:val="vi-VN"/>
        </w:rPr>
        <w:t xml:space="preserve">huế tỉnh </w:t>
      </w:r>
      <w:r w:rsidR="00402501" w:rsidRPr="000D7E6B">
        <w:rPr>
          <w:sz w:val="28"/>
          <w:szCs w:val="28"/>
          <w:lang w:val="nl-NL"/>
        </w:rPr>
        <w:t>H</w:t>
      </w:r>
      <w:r w:rsidR="00566A45">
        <w:rPr>
          <w:sz w:val="28"/>
          <w:szCs w:val="28"/>
          <w:lang w:val="nl-NL"/>
        </w:rPr>
        <w:t xml:space="preserve">à Tĩnh đã </w:t>
      </w:r>
      <w:r w:rsidRPr="00BC74E8">
        <w:rPr>
          <w:sz w:val="28"/>
          <w:szCs w:val="28"/>
          <w:lang w:val="vi-VN"/>
        </w:rPr>
        <w:t xml:space="preserve">kiểm tra việc chấp hành pháp luật về thuế năm </w:t>
      </w:r>
      <w:r w:rsidRPr="00B701D5">
        <w:rPr>
          <w:sz w:val="28"/>
          <w:szCs w:val="28"/>
          <w:lang w:val="nl-NL"/>
        </w:rPr>
        <w:t xml:space="preserve">2018, </w:t>
      </w:r>
      <w:r w:rsidRPr="00BC74E8">
        <w:rPr>
          <w:sz w:val="28"/>
          <w:szCs w:val="28"/>
          <w:lang w:val="vi-VN"/>
        </w:rPr>
        <w:t>2019 (</w:t>
      </w:r>
      <w:r w:rsidRPr="00BC74E8">
        <w:rPr>
          <w:rFonts w:asciiTheme="majorHAnsi" w:hAnsiTheme="majorHAnsi" w:cstheme="majorHAnsi"/>
          <w:sz w:val="28"/>
          <w:szCs w:val="28"/>
          <w:lang w:val="vi-VN"/>
        </w:rPr>
        <w:t xml:space="preserve">Quyết định số </w:t>
      </w:r>
      <w:r w:rsidRPr="00B701D5">
        <w:rPr>
          <w:rFonts w:asciiTheme="majorHAnsi" w:hAnsiTheme="majorHAnsi" w:cstheme="majorHAnsi"/>
          <w:sz w:val="28"/>
          <w:szCs w:val="28"/>
          <w:lang w:val="nl-NL"/>
        </w:rPr>
        <w:t>3887</w:t>
      </w:r>
      <w:r w:rsidRPr="00BC74E8">
        <w:rPr>
          <w:rFonts w:asciiTheme="majorHAnsi" w:hAnsiTheme="majorHAnsi" w:cstheme="majorHAnsi"/>
          <w:sz w:val="28"/>
          <w:szCs w:val="28"/>
          <w:lang w:val="vi-VN"/>
        </w:rPr>
        <w:t>/QĐ-C</w:t>
      </w:r>
      <w:r w:rsidRPr="00B701D5">
        <w:rPr>
          <w:rFonts w:asciiTheme="majorHAnsi" w:hAnsiTheme="majorHAnsi" w:cstheme="majorHAnsi"/>
          <w:sz w:val="28"/>
          <w:szCs w:val="28"/>
          <w:lang w:val="nl-NL"/>
        </w:rPr>
        <w:t>T</w:t>
      </w:r>
      <w:r w:rsidRPr="00BC74E8">
        <w:rPr>
          <w:rFonts w:asciiTheme="majorHAnsi" w:hAnsiTheme="majorHAnsi" w:cstheme="majorHAnsi"/>
          <w:sz w:val="28"/>
          <w:szCs w:val="28"/>
          <w:lang w:val="vi-VN"/>
        </w:rPr>
        <w:t xml:space="preserve"> ngày </w:t>
      </w:r>
      <w:r w:rsidRPr="00B701D5">
        <w:rPr>
          <w:rFonts w:asciiTheme="majorHAnsi" w:hAnsiTheme="majorHAnsi" w:cstheme="majorHAnsi"/>
          <w:sz w:val="28"/>
          <w:szCs w:val="28"/>
          <w:lang w:val="nl-NL"/>
        </w:rPr>
        <w:t>08/12/2020</w:t>
      </w:r>
      <w:r w:rsidRPr="00BC74E8">
        <w:rPr>
          <w:sz w:val="28"/>
          <w:szCs w:val="28"/>
          <w:lang w:val="vi-VN"/>
        </w:rPr>
        <w:t>).</w:t>
      </w:r>
      <w:r w:rsidR="00481F07" w:rsidRPr="000D7E6B">
        <w:rPr>
          <w:sz w:val="28"/>
          <w:szCs w:val="28"/>
          <w:lang w:val="nl-NL"/>
        </w:rPr>
        <w:t xml:space="preserve"> </w:t>
      </w:r>
      <w:r w:rsidRPr="00B701D5">
        <w:rPr>
          <w:rFonts w:asciiTheme="majorHAnsi" w:hAnsiTheme="majorHAnsi" w:cstheme="majorHAnsi"/>
          <w:sz w:val="28"/>
          <w:szCs w:val="28"/>
          <w:lang w:val="nl-NL"/>
        </w:rPr>
        <w:t>Qua kiểm tra: Số liệu Công ty kê khai quyết toán thuế không chênh lệch so với số liệu C</w:t>
      </w:r>
      <w:r w:rsidRPr="00BC74E8">
        <w:rPr>
          <w:rFonts w:asciiTheme="majorHAnsi" w:hAnsiTheme="majorHAnsi" w:cstheme="majorHAnsi"/>
          <w:sz w:val="28"/>
          <w:szCs w:val="28"/>
          <w:lang w:val="vi-VN"/>
        </w:rPr>
        <w:t xml:space="preserve">ục Thuế </w:t>
      </w:r>
      <w:r w:rsidRPr="00B701D5">
        <w:rPr>
          <w:rFonts w:asciiTheme="majorHAnsi" w:hAnsiTheme="majorHAnsi" w:cstheme="majorHAnsi"/>
          <w:sz w:val="28"/>
          <w:szCs w:val="28"/>
          <w:lang w:val="nl-NL"/>
        </w:rPr>
        <w:t>tỉnh kiểm tra.</w:t>
      </w:r>
      <w:r w:rsidRPr="00BC74E8">
        <w:rPr>
          <w:sz w:val="28"/>
          <w:szCs w:val="28"/>
          <w:lang w:val="vi-VN"/>
        </w:rPr>
        <w:t xml:space="preserve"> Thực hiện Chỉ thị số 20/CT-TTg ngày 17/5/2017 của Thủ tướng Chính phủ, Thanh tra tỉnh không tiến hành thanh tra lại việc thực hiện nghĩa vụ với ngân sách </w:t>
      </w:r>
      <w:r w:rsidRPr="00B701D5">
        <w:rPr>
          <w:sz w:val="28"/>
          <w:szCs w:val="28"/>
          <w:lang w:val="vi-VN"/>
        </w:rPr>
        <w:t xml:space="preserve">năm </w:t>
      </w:r>
      <w:r w:rsidRPr="00BC74E8">
        <w:rPr>
          <w:sz w:val="28"/>
          <w:szCs w:val="28"/>
          <w:lang w:val="vi-VN"/>
        </w:rPr>
        <w:t xml:space="preserve">2019. Kết quả thanh tra </w:t>
      </w:r>
      <w:r w:rsidRPr="00B701D5">
        <w:rPr>
          <w:sz w:val="28"/>
          <w:szCs w:val="28"/>
          <w:lang w:val="vi-VN"/>
        </w:rPr>
        <w:t>năm 2020</w:t>
      </w:r>
      <w:r w:rsidRPr="00BC74E8">
        <w:rPr>
          <w:sz w:val="28"/>
          <w:szCs w:val="28"/>
          <w:lang w:val="vi-VN"/>
        </w:rPr>
        <w:t>, như sau:</w:t>
      </w:r>
    </w:p>
    <w:p w:rsidR="00402501" w:rsidRDefault="00874FD7" w:rsidP="000D7E6B">
      <w:pPr>
        <w:spacing w:after="100"/>
        <w:ind w:firstLine="567"/>
        <w:jc w:val="both"/>
        <w:rPr>
          <w:b/>
          <w:i/>
          <w:sz w:val="28"/>
          <w:szCs w:val="28"/>
          <w:lang w:val="nl-NL"/>
        </w:rPr>
      </w:pPr>
      <w:r w:rsidRPr="00577EF1">
        <w:rPr>
          <w:b/>
          <w:i/>
          <w:sz w:val="28"/>
          <w:szCs w:val="28"/>
          <w:lang w:val="nl-NL"/>
        </w:rPr>
        <w:t>2.1. Công tác tài chính, kế toán</w:t>
      </w:r>
    </w:p>
    <w:p w:rsidR="00402501" w:rsidRDefault="00F763ED" w:rsidP="000D7E6B">
      <w:pPr>
        <w:spacing w:after="100"/>
        <w:ind w:firstLine="567"/>
        <w:jc w:val="both"/>
        <w:rPr>
          <w:sz w:val="28"/>
          <w:szCs w:val="28"/>
          <w:lang w:val="nl-NL"/>
        </w:rPr>
      </w:pPr>
      <w:r w:rsidRPr="00BC74E8">
        <w:rPr>
          <w:sz w:val="28"/>
          <w:szCs w:val="28"/>
          <w:lang w:val="vi-VN"/>
        </w:rPr>
        <w:t xml:space="preserve">Công ty đã thực hiện </w:t>
      </w:r>
      <w:r w:rsidRPr="00BC74E8">
        <w:rPr>
          <w:sz w:val="28"/>
          <w:szCs w:val="28"/>
          <w:lang w:val="nl-NL"/>
        </w:rPr>
        <w:t>việc</w:t>
      </w:r>
      <w:r w:rsidRPr="00BC74E8">
        <w:rPr>
          <w:sz w:val="28"/>
          <w:szCs w:val="28"/>
          <w:lang w:val="vi-VN"/>
        </w:rPr>
        <w:t xml:space="preserve"> mở, ghi chép sổ sách kế toán, hạch toán theo dõi tình hình hoạt động sản xuất kinh doanh bằng phần mề</w:t>
      </w:r>
      <w:r w:rsidRPr="00BC74E8">
        <w:rPr>
          <w:sz w:val="28"/>
          <w:szCs w:val="28"/>
          <w:lang w:val="nl-NL"/>
        </w:rPr>
        <w:t xml:space="preserve">m </w:t>
      </w:r>
      <w:r w:rsidRPr="00BC74E8">
        <w:rPr>
          <w:sz w:val="28"/>
          <w:szCs w:val="28"/>
          <w:lang w:val="vi-VN"/>
        </w:rPr>
        <w:t>kế toán</w:t>
      </w:r>
      <w:r w:rsidRPr="00BC74E8">
        <w:rPr>
          <w:sz w:val="28"/>
          <w:szCs w:val="28"/>
          <w:lang w:val="nl-NL"/>
        </w:rPr>
        <w:t xml:space="preserve"> Bravo. Chế độ kế toán áp dụng theo Thông tư số 200/2014/TT-BTC ngày 22/12/2014 của Bộ Tài chính về hướng dẫn chế độ kế toán doanh nghiệp, tổ chức bộ máy kế toán phù hợp quy mô, loại hình, tính chất của doanh nghiêp; c</w:t>
      </w:r>
      <w:r w:rsidRPr="00BC74E8">
        <w:rPr>
          <w:sz w:val="28"/>
          <w:szCs w:val="28"/>
          <w:lang w:val="vi-VN"/>
        </w:rPr>
        <w:t xml:space="preserve">hứng từ kế toán được sắp xếp, phân loại, bảo quản </w:t>
      </w:r>
      <w:r w:rsidRPr="00BC74E8">
        <w:rPr>
          <w:sz w:val="28"/>
          <w:szCs w:val="28"/>
          <w:lang w:val="nl-NL"/>
        </w:rPr>
        <w:t>đầy đủ, khoa học;</w:t>
      </w:r>
      <w:r w:rsidRPr="00BC74E8">
        <w:rPr>
          <w:sz w:val="28"/>
          <w:szCs w:val="28"/>
          <w:lang w:val="vi-VN"/>
        </w:rPr>
        <w:t xml:space="preserve"> báo cáo tài chính được lập đảm bảo</w:t>
      </w:r>
      <w:r w:rsidRPr="00BC74E8">
        <w:rPr>
          <w:sz w:val="28"/>
          <w:szCs w:val="28"/>
          <w:lang w:val="nl-NL"/>
        </w:rPr>
        <w:t xml:space="preserve"> thời gian và các nội dung theo</w:t>
      </w:r>
      <w:r w:rsidRPr="00BC74E8">
        <w:rPr>
          <w:sz w:val="28"/>
          <w:szCs w:val="28"/>
          <w:lang w:val="vi-VN"/>
        </w:rPr>
        <w:t xml:space="preserve"> quy định</w:t>
      </w:r>
      <w:r w:rsidRPr="00BC74E8">
        <w:rPr>
          <w:sz w:val="28"/>
          <w:szCs w:val="28"/>
          <w:lang w:val="nl-NL"/>
        </w:rPr>
        <w:t xml:space="preserve">, báo cáo </w:t>
      </w:r>
      <w:r w:rsidR="00566A45">
        <w:rPr>
          <w:sz w:val="28"/>
          <w:szCs w:val="28"/>
          <w:lang w:val="nl-NL"/>
        </w:rPr>
        <w:t xml:space="preserve">tài chính năm 2020 </w:t>
      </w:r>
      <w:r w:rsidRPr="00BC74E8">
        <w:rPr>
          <w:sz w:val="28"/>
          <w:szCs w:val="28"/>
          <w:lang w:val="nl-NL"/>
        </w:rPr>
        <w:t>đã được Công ty thuê kiểm toán độc lập kiểm toán theo quy định của Điều lệ</w:t>
      </w:r>
      <w:r w:rsidR="00B231EF">
        <w:rPr>
          <w:sz w:val="28"/>
          <w:szCs w:val="28"/>
          <w:lang w:val="nl-NL"/>
        </w:rPr>
        <w:t xml:space="preserve"> công ty</w:t>
      </w:r>
      <w:r w:rsidRPr="00BC74E8">
        <w:rPr>
          <w:sz w:val="28"/>
          <w:szCs w:val="28"/>
          <w:lang w:val="nl-NL"/>
        </w:rPr>
        <w:t>.</w:t>
      </w:r>
    </w:p>
    <w:p w:rsidR="00402501" w:rsidRDefault="00F763ED" w:rsidP="000D7E6B">
      <w:pPr>
        <w:spacing w:after="100"/>
        <w:ind w:firstLine="567"/>
        <w:jc w:val="both"/>
        <w:rPr>
          <w:rFonts w:asciiTheme="majorHAnsi" w:hAnsiTheme="majorHAnsi" w:cstheme="majorHAnsi"/>
          <w:sz w:val="28"/>
          <w:szCs w:val="28"/>
          <w:lang w:val="nl-NL"/>
        </w:rPr>
      </w:pPr>
      <w:r w:rsidRPr="00B701D5">
        <w:rPr>
          <w:rFonts w:asciiTheme="majorHAnsi" w:hAnsiTheme="majorHAnsi" w:cstheme="majorHAnsi"/>
          <w:sz w:val="28"/>
          <w:szCs w:val="28"/>
          <w:lang w:val="nl-NL"/>
        </w:rPr>
        <w:t xml:space="preserve">Quy định quản lý chi phí của Công ty được ban hành từ năm 2015, trong đó </w:t>
      </w:r>
      <w:r w:rsidR="00566A45">
        <w:rPr>
          <w:rFonts w:asciiTheme="majorHAnsi" w:hAnsiTheme="majorHAnsi" w:cstheme="majorHAnsi"/>
          <w:sz w:val="28"/>
          <w:szCs w:val="28"/>
          <w:lang w:val="nl-NL"/>
        </w:rPr>
        <w:t>một số</w:t>
      </w:r>
      <w:r w:rsidR="00481F07">
        <w:rPr>
          <w:rFonts w:asciiTheme="majorHAnsi" w:hAnsiTheme="majorHAnsi" w:cstheme="majorHAnsi"/>
          <w:sz w:val="28"/>
          <w:szCs w:val="28"/>
          <w:lang w:val="nl-NL"/>
        </w:rPr>
        <w:t xml:space="preserve"> </w:t>
      </w:r>
      <w:r w:rsidRPr="00B701D5">
        <w:rPr>
          <w:rFonts w:asciiTheme="majorHAnsi" w:hAnsiTheme="majorHAnsi" w:cstheme="majorHAnsi"/>
          <w:sz w:val="28"/>
          <w:szCs w:val="28"/>
          <w:lang w:val="nl-NL"/>
        </w:rPr>
        <w:t xml:space="preserve">văn bản quy phạm pháp luật làm căn cứ đã hết hiệu lực và được thay thế nhưng Công ty chưa cập nhật, bổ sung, điều chỉnh để quy chế phù hợp với pháp luật hiện hành. </w:t>
      </w:r>
    </w:p>
    <w:p w:rsidR="00402501" w:rsidRDefault="00874FD7" w:rsidP="000D7E6B">
      <w:pPr>
        <w:spacing w:after="100"/>
        <w:ind w:firstLine="567"/>
        <w:jc w:val="both"/>
        <w:rPr>
          <w:b/>
          <w:i/>
          <w:sz w:val="28"/>
          <w:szCs w:val="28"/>
          <w:lang w:val="nl-NL"/>
        </w:rPr>
      </w:pPr>
      <w:r w:rsidRPr="00577EF1">
        <w:rPr>
          <w:b/>
          <w:i/>
          <w:sz w:val="28"/>
          <w:szCs w:val="28"/>
          <w:lang w:val="nl-NL"/>
        </w:rPr>
        <w:lastRenderedPageBreak/>
        <w:t>2.2. Thực hiện nghĩa vụ</w:t>
      </w:r>
      <w:r w:rsidR="00481F07">
        <w:rPr>
          <w:b/>
          <w:i/>
          <w:sz w:val="28"/>
          <w:szCs w:val="28"/>
          <w:lang w:val="nl-NL"/>
        </w:rPr>
        <w:t xml:space="preserve"> </w:t>
      </w:r>
      <w:r w:rsidRPr="00577EF1">
        <w:rPr>
          <w:b/>
          <w:i/>
          <w:sz w:val="28"/>
          <w:szCs w:val="28"/>
          <w:lang w:val="nl-NL"/>
        </w:rPr>
        <w:t>đối với Nhà nước</w:t>
      </w:r>
    </w:p>
    <w:p w:rsidR="00402501" w:rsidRDefault="00F763ED" w:rsidP="000D7E6B">
      <w:pPr>
        <w:spacing w:after="100"/>
        <w:ind w:firstLine="567"/>
        <w:jc w:val="both"/>
        <w:rPr>
          <w:rFonts w:asciiTheme="majorHAnsi" w:hAnsiTheme="majorHAnsi" w:cstheme="majorHAnsi"/>
          <w:sz w:val="28"/>
          <w:szCs w:val="28"/>
          <w:lang w:val="nl-NL"/>
        </w:rPr>
      </w:pPr>
      <w:r w:rsidRPr="00BC74E8">
        <w:rPr>
          <w:rFonts w:asciiTheme="majorHAnsi" w:hAnsiTheme="majorHAnsi" w:cstheme="majorHAnsi"/>
          <w:sz w:val="28"/>
          <w:szCs w:val="28"/>
          <w:lang w:val="nl-NL"/>
        </w:rPr>
        <w:t>* Kết quả hoạt động SXKD theo</w:t>
      </w:r>
      <w:r w:rsidRPr="00BC74E8">
        <w:rPr>
          <w:rFonts w:asciiTheme="majorHAnsi" w:hAnsiTheme="majorHAnsi" w:cstheme="majorHAnsi"/>
          <w:sz w:val="28"/>
          <w:szCs w:val="28"/>
          <w:lang w:val="vi-VN"/>
        </w:rPr>
        <w:t xml:space="preserve"> báo cáo</w:t>
      </w:r>
      <w:r w:rsidRPr="00BC74E8">
        <w:rPr>
          <w:rFonts w:asciiTheme="majorHAnsi" w:hAnsiTheme="majorHAnsi" w:cstheme="majorHAnsi"/>
          <w:sz w:val="28"/>
          <w:szCs w:val="28"/>
          <w:lang w:val="nl-NL"/>
        </w:rPr>
        <w:t xml:space="preserve"> tài chính năm 2020 như sau:</w:t>
      </w:r>
    </w:p>
    <w:p w:rsidR="00F763ED" w:rsidRPr="00A56EDA" w:rsidRDefault="00566A45" w:rsidP="00BC74E8">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sidR="00481F07">
        <w:rPr>
          <w:i/>
          <w:sz w:val="26"/>
          <w:szCs w:val="26"/>
          <w:lang w:val="nl-NL"/>
        </w:rPr>
        <w:t xml:space="preserve">     </w:t>
      </w:r>
      <w:r w:rsidR="00F763ED" w:rsidRPr="00A56EDA">
        <w:rPr>
          <w:i/>
          <w:sz w:val="26"/>
          <w:szCs w:val="26"/>
          <w:lang w:val="nl-NL"/>
        </w:rPr>
        <w:t>(ĐVT: Đồng)</w:t>
      </w:r>
    </w:p>
    <w:tbl>
      <w:tblPr>
        <w:tblW w:w="9463" w:type="dxa"/>
        <w:jc w:val="right"/>
        <w:tblInd w:w="-699" w:type="dxa"/>
        <w:tblLook w:val="04A0" w:firstRow="1" w:lastRow="0" w:firstColumn="1" w:lastColumn="0" w:noHBand="0" w:noVBand="1"/>
      </w:tblPr>
      <w:tblGrid>
        <w:gridCol w:w="1134"/>
        <w:gridCol w:w="5529"/>
        <w:gridCol w:w="2800"/>
      </w:tblGrid>
      <w:tr w:rsidR="00F763ED" w:rsidRPr="00A56EDA" w:rsidTr="000D7E6B">
        <w:trPr>
          <w:trHeight w:val="332"/>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F763ED" w:rsidRPr="00A56EDA" w:rsidRDefault="00F763ED" w:rsidP="00257B46">
            <w:pPr>
              <w:jc w:val="center"/>
              <w:rPr>
                <w:b/>
                <w:bCs/>
                <w:color w:val="000000"/>
                <w:sz w:val="26"/>
                <w:szCs w:val="26"/>
              </w:rPr>
            </w:pPr>
            <w:r w:rsidRPr="00A56EDA">
              <w:rPr>
                <w:b/>
                <w:bCs/>
                <w:color w:val="000000"/>
                <w:sz w:val="26"/>
                <w:szCs w:val="26"/>
              </w:rPr>
              <w:t>TT</w:t>
            </w:r>
          </w:p>
        </w:tc>
        <w:tc>
          <w:tcPr>
            <w:tcW w:w="5529" w:type="dxa"/>
            <w:tcBorders>
              <w:top w:val="single" w:sz="4" w:space="0" w:color="auto"/>
              <w:left w:val="nil"/>
              <w:bottom w:val="single" w:sz="4" w:space="0" w:color="auto"/>
              <w:right w:val="single" w:sz="4" w:space="0" w:color="auto"/>
            </w:tcBorders>
            <w:vAlign w:val="center"/>
            <w:hideMark/>
          </w:tcPr>
          <w:p w:rsidR="00F763ED" w:rsidRPr="00A56EDA" w:rsidRDefault="00F763ED" w:rsidP="00257B46">
            <w:pPr>
              <w:jc w:val="center"/>
              <w:rPr>
                <w:b/>
                <w:bCs/>
                <w:color w:val="000000"/>
                <w:sz w:val="26"/>
                <w:szCs w:val="26"/>
              </w:rPr>
            </w:pPr>
            <w:r w:rsidRPr="00A56EDA">
              <w:rPr>
                <w:b/>
                <w:bCs/>
                <w:color w:val="000000"/>
                <w:sz w:val="26"/>
                <w:szCs w:val="26"/>
              </w:rPr>
              <w:t>Chỉ tiêu</w:t>
            </w:r>
          </w:p>
        </w:tc>
        <w:tc>
          <w:tcPr>
            <w:tcW w:w="2800" w:type="dxa"/>
            <w:tcBorders>
              <w:top w:val="single" w:sz="4" w:space="0" w:color="auto"/>
              <w:left w:val="nil"/>
              <w:bottom w:val="single" w:sz="4" w:space="0" w:color="auto"/>
              <w:right w:val="single" w:sz="4" w:space="0" w:color="auto"/>
            </w:tcBorders>
            <w:vAlign w:val="center"/>
            <w:hideMark/>
          </w:tcPr>
          <w:p w:rsidR="00F763ED" w:rsidRPr="00A56EDA" w:rsidRDefault="00F763ED" w:rsidP="00257B46">
            <w:pPr>
              <w:jc w:val="center"/>
              <w:rPr>
                <w:b/>
                <w:bCs/>
                <w:color w:val="000000"/>
                <w:sz w:val="26"/>
                <w:szCs w:val="26"/>
              </w:rPr>
            </w:pPr>
            <w:r w:rsidRPr="00A56EDA">
              <w:rPr>
                <w:b/>
                <w:bCs/>
                <w:color w:val="000000"/>
                <w:sz w:val="26"/>
                <w:szCs w:val="26"/>
              </w:rPr>
              <w:t xml:space="preserve"> Năm 2020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Doanh thu bán hàng và cung cấp DV</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534.871.441.232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2</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Các khoản giảm trừ doanh thu</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3</w:t>
            </w:r>
          </w:p>
        </w:tc>
        <w:tc>
          <w:tcPr>
            <w:tcW w:w="5529" w:type="dxa"/>
            <w:tcBorders>
              <w:top w:val="nil"/>
              <w:left w:val="nil"/>
              <w:bottom w:val="single" w:sz="4" w:space="0" w:color="auto"/>
              <w:right w:val="single" w:sz="4" w:space="0" w:color="auto"/>
            </w:tcBorders>
            <w:noWrap/>
            <w:vAlign w:val="center"/>
            <w:hideMark/>
          </w:tcPr>
          <w:p w:rsidR="00F763ED" w:rsidRPr="00A56EDA" w:rsidRDefault="00F763ED" w:rsidP="00257B46">
            <w:pPr>
              <w:rPr>
                <w:color w:val="000000"/>
                <w:sz w:val="26"/>
                <w:szCs w:val="26"/>
              </w:rPr>
            </w:pPr>
            <w:r w:rsidRPr="00A56EDA">
              <w:rPr>
                <w:color w:val="000000"/>
                <w:sz w:val="26"/>
                <w:szCs w:val="26"/>
              </w:rPr>
              <w:t>Doanh thu thuần về bán hàng và cung cấp DV</w:t>
            </w:r>
          </w:p>
        </w:tc>
        <w:tc>
          <w:tcPr>
            <w:tcW w:w="2800" w:type="dxa"/>
            <w:tcBorders>
              <w:top w:val="nil"/>
              <w:left w:val="nil"/>
              <w:bottom w:val="single" w:sz="4" w:space="0" w:color="auto"/>
              <w:right w:val="single" w:sz="4" w:space="0" w:color="auto"/>
            </w:tcBorders>
            <w:shd w:val="clear" w:color="auto" w:fill="FFFFFF"/>
            <w:vAlign w:val="center"/>
            <w:hideMark/>
          </w:tcPr>
          <w:p w:rsidR="00F763ED" w:rsidRPr="00A56EDA" w:rsidRDefault="00F763ED" w:rsidP="00257B46">
            <w:pPr>
              <w:jc w:val="right"/>
              <w:rPr>
                <w:color w:val="000000"/>
                <w:sz w:val="26"/>
                <w:szCs w:val="26"/>
              </w:rPr>
            </w:pPr>
            <w:r w:rsidRPr="00A56EDA">
              <w:rPr>
                <w:color w:val="000000"/>
                <w:sz w:val="26"/>
                <w:szCs w:val="26"/>
              </w:rPr>
              <w:t xml:space="preserve">  534.871.441.232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4</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Giá vốn hàng bán</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469.445.660.433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5</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Lợi nhuận gộp về bán hàng và cung cấp DV</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65.425.780.799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6</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Doanh thu hoạt động tài chính</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8.477.135.093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7</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Chi phí tài chính</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8</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Chi phí quản lý doanh nghiệp</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11.942.343.771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9</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Lợi nhuận từ hoạt động kinh doanh</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61.960.572.121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10</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Thu nhập khác</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281.206.152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11</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Chi phí khác</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85.029.189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12</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Lợi nhuận khác</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196.176.963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13</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Tổng lợi nhuận kế toán trước thuế TNDN</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56EDA">
              <w:rPr>
                <w:color w:val="000000"/>
                <w:sz w:val="26"/>
                <w:szCs w:val="26"/>
              </w:rPr>
              <w:t xml:space="preserve">    62.156.749.084 </w:t>
            </w:r>
          </w:p>
        </w:tc>
      </w:tr>
      <w:tr w:rsidR="00F763ED" w:rsidRPr="00A56EDA" w:rsidTr="000D7E6B">
        <w:trPr>
          <w:trHeight w:val="664"/>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13a</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Các khoản chi không được trừ khi xác định thu nhập chịu thuế</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3.749.541.179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14</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Thu nhập chịu thuế</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65.906.290.263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14</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Chi phí thuế TNDN hiện hành</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F5F62">
              <w:rPr>
                <w:color w:val="000000"/>
                <w:sz w:val="26"/>
                <w:szCs w:val="26"/>
              </w:rPr>
              <w:t>13.095.276.971</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15</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Chi phí thuế TNDN hoãn lại</w:t>
            </w:r>
          </w:p>
        </w:tc>
        <w:tc>
          <w:tcPr>
            <w:tcW w:w="2800" w:type="dxa"/>
            <w:tcBorders>
              <w:top w:val="nil"/>
              <w:left w:val="nil"/>
              <w:bottom w:val="single" w:sz="4" w:space="0" w:color="auto"/>
              <w:right w:val="single" w:sz="4" w:space="0" w:color="auto"/>
            </w:tcBorders>
            <w:noWrap/>
            <w:vAlign w:val="bottom"/>
            <w:hideMark/>
          </w:tcPr>
          <w:p w:rsidR="00F763ED" w:rsidRPr="00A56EDA" w:rsidRDefault="00F763ED" w:rsidP="00257B46">
            <w:pPr>
              <w:jc w:val="right"/>
              <w:rPr>
                <w:color w:val="000000"/>
                <w:sz w:val="26"/>
                <w:szCs w:val="26"/>
              </w:rPr>
            </w:pPr>
            <w:r w:rsidRPr="00A56EDA">
              <w:rPr>
                <w:color w:val="000000"/>
                <w:sz w:val="26"/>
                <w:szCs w:val="26"/>
              </w:rPr>
              <w:t xml:space="preserve">              85.981.083 </w:t>
            </w:r>
          </w:p>
        </w:tc>
      </w:tr>
      <w:tr w:rsidR="00F763ED" w:rsidRPr="00A56EDA" w:rsidTr="000D7E6B">
        <w:trPr>
          <w:trHeight w:val="332"/>
          <w:jc w:val="right"/>
        </w:trPr>
        <w:tc>
          <w:tcPr>
            <w:tcW w:w="1134" w:type="dxa"/>
            <w:tcBorders>
              <w:top w:val="nil"/>
              <w:left w:val="single" w:sz="4" w:space="0" w:color="auto"/>
              <w:bottom w:val="single" w:sz="4" w:space="0" w:color="auto"/>
              <w:right w:val="single" w:sz="4" w:space="0" w:color="auto"/>
            </w:tcBorders>
            <w:vAlign w:val="center"/>
            <w:hideMark/>
          </w:tcPr>
          <w:p w:rsidR="00F763ED" w:rsidRPr="00A56EDA" w:rsidRDefault="00F763ED" w:rsidP="00257B46">
            <w:pPr>
              <w:jc w:val="center"/>
              <w:rPr>
                <w:color w:val="000000"/>
                <w:sz w:val="26"/>
                <w:szCs w:val="26"/>
              </w:rPr>
            </w:pPr>
            <w:r w:rsidRPr="00A56EDA">
              <w:rPr>
                <w:color w:val="000000"/>
                <w:sz w:val="26"/>
                <w:szCs w:val="26"/>
              </w:rPr>
              <w:t>16</w:t>
            </w:r>
          </w:p>
        </w:tc>
        <w:tc>
          <w:tcPr>
            <w:tcW w:w="5529" w:type="dxa"/>
            <w:tcBorders>
              <w:top w:val="nil"/>
              <w:left w:val="nil"/>
              <w:bottom w:val="single" w:sz="4" w:space="0" w:color="auto"/>
              <w:right w:val="single" w:sz="4" w:space="0" w:color="auto"/>
            </w:tcBorders>
            <w:vAlign w:val="center"/>
            <w:hideMark/>
          </w:tcPr>
          <w:p w:rsidR="00F763ED" w:rsidRPr="00A56EDA" w:rsidRDefault="00F763ED" w:rsidP="00257B46">
            <w:pPr>
              <w:rPr>
                <w:color w:val="000000"/>
                <w:sz w:val="26"/>
                <w:szCs w:val="26"/>
              </w:rPr>
            </w:pPr>
            <w:r w:rsidRPr="00A56EDA">
              <w:rPr>
                <w:color w:val="000000"/>
                <w:sz w:val="26"/>
                <w:szCs w:val="26"/>
              </w:rPr>
              <w:t>Tổng thu nhập sau thuế</w:t>
            </w:r>
          </w:p>
        </w:tc>
        <w:tc>
          <w:tcPr>
            <w:tcW w:w="2800" w:type="dxa"/>
            <w:tcBorders>
              <w:top w:val="nil"/>
              <w:left w:val="nil"/>
              <w:bottom w:val="single" w:sz="4" w:space="0" w:color="auto"/>
              <w:right w:val="single" w:sz="4" w:space="0" w:color="auto"/>
            </w:tcBorders>
            <w:vAlign w:val="center"/>
            <w:hideMark/>
          </w:tcPr>
          <w:p w:rsidR="00F763ED" w:rsidRPr="00A56EDA" w:rsidRDefault="00F763ED" w:rsidP="00257B46">
            <w:pPr>
              <w:jc w:val="right"/>
              <w:rPr>
                <w:color w:val="000000"/>
                <w:sz w:val="26"/>
                <w:szCs w:val="26"/>
              </w:rPr>
            </w:pPr>
            <w:r w:rsidRPr="00AF5F62">
              <w:rPr>
                <w:bCs/>
                <w:sz w:val="26"/>
                <w:szCs w:val="26"/>
              </w:rPr>
              <w:t>48.975.491.030</w:t>
            </w:r>
          </w:p>
        </w:tc>
      </w:tr>
    </w:tbl>
    <w:p w:rsidR="00F763ED" w:rsidRPr="00E76B24" w:rsidRDefault="00F763ED" w:rsidP="00F763ED">
      <w:pPr>
        <w:spacing w:before="120"/>
        <w:ind w:firstLine="709"/>
        <w:jc w:val="both"/>
        <w:rPr>
          <w:sz w:val="28"/>
          <w:szCs w:val="28"/>
        </w:rPr>
      </w:pPr>
      <w:r w:rsidRPr="00E76B24">
        <w:rPr>
          <w:sz w:val="28"/>
          <w:szCs w:val="28"/>
          <w:lang w:val="vi-VN"/>
        </w:rPr>
        <w:t xml:space="preserve">* Tình hình thực hiện nghĩa vụ với </w:t>
      </w:r>
      <w:r w:rsidRPr="00E76B24">
        <w:rPr>
          <w:sz w:val="28"/>
          <w:szCs w:val="28"/>
        </w:rPr>
        <w:t>N</w:t>
      </w:r>
      <w:r w:rsidRPr="00E76B24">
        <w:rPr>
          <w:sz w:val="28"/>
          <w:szCs w:val="28"/>
          <w:lang w:val="vi-VN"/>
        </w:rPr>
        <w:t>hà nước năm</w:t>
      </w:r>
      <w:r w:rsidRPr="00E76B24">
        <w:rPr>
          <w:sz w:val="28"/>
          <w:szCs w:val="28"/>
          <w:lang w:val="nl-NL"/>
        </w:rPr>
        <w:t xml:space="preserve"> 2020</w:t>
      </w:r>
      <w:r w:rsidRPr="00E76B24">
        <w:rPr>
          <w:sz w:val="28"/>
          <w:szCs w:val="28"/>
          <w:lang w:val="vi-VN"/>
        </w:rPr>
        <w:t>:</w:t>
      </w:r>
    </w:p>
    <w:p w:rsidR="00402501" w:rsidRDefault="00F763ED" w:rsidP="000D7E6B">
      <w:pPr>
        <w:ind w:firstLine="567"/>
        <w:jc w:val="right"/>
        <w:rPr>
          <w:rFonts w:asciiTheme="majorHAnsi" w:hAnsiTheme="majorHAnsi" w:cstheme="majorHAnsi"/>
          <w:b/>
          <w:lang w:val="nl-NL"/>
        </w:rPr>
      </w:pPr>
      <w:r w:rsidRPr="00A56EDA">
        <w:rPr>
          <w:i/>
        </w:rPr>
        <w:t xml:space="preserve">  (ĐVT: Đồng)</w:t>
      </w:r>
      <w:r w:rsidRPr="00A56EDA">
        <w:rPr>
          <w:rFonts w:asciiTheme="majorHAnsi" w:hAnsiTheme="majorHAnsi" w:cstheme="majorHAnsi"/>
          <w:b/>
          <w:lang w:val="nl-NL"/>
        </w:rPr>
        <w:tab/>
      </w:r>
    </w:p>
    <w:tbl>
      <w:tblPr>
        <w:tblW w:w="9463" w:type="dxa"/>
        <w:jc w:val="right"/>
        <w:tblInd w:w="142" w:type="dxa"/>
        <w:tblLook w:val="04A0" w:firstRow="1" w:lastRow="0" w:firstColumn="1" w:lastColumn="0" w:noHBand="0" w:noVBand="1"/>
      </w:tblPr>
      <w:tblGrid>
        <w:gridCol w:w="538"/>
        <w:gridCol w:w="1663"/>
        <w:gridCol w:w="1716"/>
        <w:gridCol w:w="1899"/>
        <w:gridCol w:w="1899"/>
        <w:gridCol w:w="1748"/>
      </w:tblGrid>
      <w:tr w:rsidR="00F763ED" w:rsidRPr="00A56EDA" w:rsidTr="000D7E6B">
        <w:trPr>
          <w:trHeight w:val="330"/>
          <w:jc w:val="right"/>
        </w:trPr>
        <w:tc>
          <w:tcPr>
            <w:tcW w:w="538" w:type="dxa"/>
            <w:vMerge w:val="restart"/>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TT</w:t>
            </w:r>
          </w:p>
        </w:tc>
        <w:tc>
          <w:tcPr>
            <w:tcW w:w="1730" w:type="dxa"/>
            <w:vMerge w:val="restart"/>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Chỉ tiêu</w:t>
            </w:r>
          </w:p>
        </w:tc>
        <w:tc>
          <w:tcPr>
            <w:tcW w:w="1634" w:type="dxa"/>
            <w:vMerge w:val="restart"/>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 xml:space="preserve"> Số còn phải nộp đầu năm </w:t>
            </w:r>
          </w:p>
        </w:tc>
        <w:tc>
          <w:tcPr>
            <w:tcW w:w="3810" w:type="dxa"/>
            <w:gridSpan w:val="2"/>
            <w:tcBorders>
              <w:top w:val="single" w:sz="8" w:space="0" w:color="auto"/>
              <w:left w:val="nil"/>
              <w:bottom w:val="single" w:sz="8" w:space="0" w:color="auto"/>
              <w:right w:val="single" w:sz="8" w:space="0" w:color="000000"/>
            </w:tcBorders>
            <w:vAlign w:val="center"/>
            <w:hideMark/>
          </w:tcPr>
          <w:p w:rsidR="00F763ED" w:rsidRPr="00A56EDA" w:rsidRDefault="00F763ED" w:rsidP="00257B46">
            <w:pPr>
              <w:jc w:val="center"/>
              <w:rPr>
                <w:b/>
                <w:bCs/>
                <w:color w:val="000000"/>
              </w:rPr>
            </w:pPr>
            <w:r w:rsidRPr="00A56EDA">
              <w:rPr>
                <w:b/>
                <w:bCs/>
                <w:color w:val="000000"/>
              </w:rPr>
              <w:t xml:space="preserve"> Lũy kế từ đầu năm </w:t>
            </w:r>
          </w:p>
        </w:tc>
        <w:tc>
          <w:tcPr>
            <w:tcW w:w="1751" w:type="dxa"/>
            <w:vMerge w:val="restart"/>
            <w:tcBorders>
              <w:top w:val="single" w:sz="8" w:space="0" w:color="auto"/>
              <w:left w:val="nil"/>
              <w:bottom w:val="single" w:sz="8" w:space="0" w:color="000000"/>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 xml:space="preserve"> Số còn phải nộp cuối kỳ </w:t>
            </w:r>
          </w:p>
        </w:tc>
      </w:tr>
      <w:tr w:rsidR="00F763ED" w:rsidRPr="00A56EDA" w:rsidTr="000D7E6B">
        <w:trPr>
          <w:trHeight w:val="330"/>
          <w:jc w:val="right"/>
        </w:trPr>
        <w:tc>
          <w:tcPr>
            <w:tcW w:w="538" w:type="dxa"/>
            <w:vMerge/>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rPr>
                <w:b/>
                <w:bCs/>
                <w:color w:val="000000"/>
              </w:rPr>
            </w:pPr>
          </w:p>
        </w:tc>
        <w:tc>
          <w:tcPr>
            <w:tcW w:w="1730" w:type="dxa"/>
            <w:vMerge/>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rPr>
                <w:b/>
                <w:bCs/>
                <w:color w:val="000000"/>
              </w:rPr>
            </w:pPr>
          </w:p>
        </w:tc>
        <w:tc>
          <w:tcPr>
            <w:tcW w:w="1634" w:type="dxa"/>
            <w:vMerge/>
            <w:tcBorders>
              <w:top w:val="single" w:sz="8" w:space="0" w:color="auto"/>
              <w:left w:val="single" w:sz="8" w:space="0" w:color="auto"/>
              <w:bottom w:val="single" w:sz="8" w:space="0" w:color="000000"/>
              <w:right w:val="single" w:sz="8" w:space="0" w:color="auto"/>
            </w:tcBorders>
            <w:vAlign w:val="center"/>
            <w:hideMark/>
          </w:tcPr>
          <w:p w:rsidR="00F763ED" w:rsidRPr="00A56EDA" w:rsidRDefault="00F763ED" w:rsidP="00257B46">
            <w:pPr>
              <w:rPr>
                <w:b/>
                <w:bCs/>
                <w:color w:val="000000"/>
              </w:rPr>
            </w:pP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 xml:space="preserve"> Số phải nộp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center"/>
              <w:rPr>
                <w:b/>
                <w:bCs/>
                <w:color w:val="000000"/>
              </w:rPr>
            </w:pPr>
            <w:r w:rsidRPr="00A56EDA">
              <w:rPr>
                <w:b/>
                <w:bCs/>
                <w:color w:val="000000"/>
              </w:rPr>
              <w:t xml:space="preserve"> Số đã nộp </w:t>
            </w:r>
          </w:p>
        </w:tc>
        <w:tc>
          <w:tcPr>
            <w:tcW w:w="0" w:type="auto"/>
            <w:vMerge/>
            <w:tcBorders>
              <w:top w:val="single" w:sz="8" w:space="0" w:color="auto"/>
              <w:left w:val="nil"/>
              <w:bottom w:val="single" w:sz="8" w:space="0" w:color="000000"/>
              <w:right w:val="single" w:sz="8" w:space="0" w:color="auto"/>
            </w:tcBorders>
            <w:vAlign w:val="center"/>
            <w:hideMark/>
          </w:tcPr>
          <w:p w:rsidR="00F763ED" w:rsidRPr="00A56EDA" w:rsidRDefault="00F763ED" w:rsidP="00257B46">
            <w:pPr>
              <w:rPr>
                <w:b/>
                <w:bCs/>
                <w:color w:val="000000"/>
              </w:rPr>
            </w:pP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1</w:t>
            </w:r>
          </w:p>
        </w:tc>
        <w:tc>
          <w:tcPr>
            <w:tcW w:w="1730"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Thuế môn bài</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 xml:space="preserve">            3.000.000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3.000.000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2</w:t>
            </w:r>
          </w:p>
        </w:tc>
        <w:tc>
          <w:tcPr>
            <w:tcW w:w="1730" w:type="dxa"/>
            <w:tcBorders>
              <w:top w:val="nil"/>
              <w:left w:val="nil"/>
              <w:bottom w:val="single" w:sz="8" w:space="0" w:color="auto"/>
              <w:right w:val="single" w:sz="8" w:space="0" w:color="auto"/>
            </w:tcBorders>
            <w:vAlign w:val="center"/>
            <w:hideMark/>
          </w:tcPr>
          <w:p w:rsidR="00F763ED" w:rsidRPr="00A56EDA" w:rsidRDefault="00F763ED" w:rsidP="00566A45">
            <w:pPr>
              <w:rPr>
                <w:color w:val="000000"/>
              </w:rPr>
            </w:pPr>
            <w:r w:rsidRPr="00A56EDA">
              <w:rPr>
                <w:color w:val="000000"/>
              </w:rPr>
              <w:t xml:space="preserve">Thuế GTGT </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6.337.682.635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63.188.866.268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62.174.535.243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7.352.013.660 </w:t>
            </w: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3</w:t>
            </w:r>
          </w:p>
        </w:tc>
        <w:tc>
          <w:tcPr>
            <w:tcW w:w="1730"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Thuế GTGT hàng NK</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75.086.108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75.086.108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4</w:t>
            </w:r>
          </w:p>
        </w:tc>
        <w:tc>
          <w:tcPr>
            <w:tcW w:w="1730"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 xml:space="preserve">Thuế TNDN </w:t>
            </w:r>
          </w:p>
        </w:tc>
        <w:tc>
          <w:tcPr>
            <w:tcW w:w="1634" w:type="dxa"/>
            <w:tcBorders>
              <w:top w:val="nil"/>
              <w:left w:val="nil"/>
              <w:bottom w:val="nil"/>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3.963.119.588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13.095.276.971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15.529.446.822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1.528.949.737 </w:t>
            </w: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5</w:t>
            </w:r>
          </w:p>
        </w:tc>
        <w:tc>
          <w:tcPr>
            <w:tcW w:w="1730" w:type="dxa"/>
            <w:tcBorders>
              <w:top w:val="nil"/>
              <w:left w:val="nil"/>
              <w:bottom w:val="single" w:sz="8" w:space="0" w:color="auto"/>
              <w:right w:val="nil"/>
            </w:tcBorders>
            <w:vAlign w:val="center"/>
            <w:hideMark/>
          </w:tcPr>
          <w:p w:rsidR="00F763ED" w:rsidRPr="00A56EDA" w:rsidRDefault="00F763ED" w:rsidP="00257B46">
            <w:pPr>
              <w:rPr>
                <w:color w:val="000000"/>
              </w:rPr>
            </w:pPr>
            <w:r w:rsidRPr="00A56EDA">
              <w:rPr>
                <w:color w:val="000000"/>
              </w:rPr>
              <w:t>Thuế tiêu thụ đặc biệt</w:t>
            </w:r>
          </w:p>
        </w:tc>
        <w:tc>
          <w:tcPr>
            <w:tcW w:w="16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763ED" w:rsidRPr="00A56EDA" w:rsidRDefault="00F763ED" w:rsidP="00257B46">
            <w:pPr>
              <w:jc w:val="right"/>
              <w:rPr>
                <w:color w:val="000000"/>
              </w:rPr>
            </w:pPr>
            <w:r w:rsidRPr="00A56EDA">
              <w:rPr>
                <w:color w:val="000000"/>
              </w:rPr>
              <w:t xml:space="preserve">  47.272.075.950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483.507.173.093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477.556.828.193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53.222.420.850 </w:t>
            </w:r>
          </w:p>
        </w:tc>
      </w:tr>
      <w:tr w:rsidR="00F763ED" w:rsidRPr="00A56EDA"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6</w:t>
            </w:r>
          </w:p>
        </w:tc>
        <w:tc>
          <w:tcPr>
            <w:tcW w:w="1730"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Thuế TNCN</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1.408.002.093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1.042.196.903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2.477.816.083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(27.617.087)</w:t>
            </w:r>
          </w:p>
        </w:tc>
      </w:tr>
      <w:tr w:rsidR="00F763ED" w:rsidRPr="00A56EDA" w:rsidTr="000D7E6B">
        <w:trPr>
          <w:trHeight w:val="645"/>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7</w:t>
            </w:r>
          </w:p>
        </w:tc>
        <w:tc>
          <w:tcPr>
            <w:tcW w:w="1730" w:type="dxa"/>
            <w:tcBorders>
              <w:top w:val="nil"/>
              <w:left w:val="nil"/>
              <w:bottom w:val="single" w:sz="8" w:space="0" w:color="auto"/>
              <w:right w:val="single" w:sz="8" w:space="0" w:color="auto"/>
            </w:tcBorders>
            <w:vAlign w:val="center"/>
            <w:hideMark/>
          </w:tcPr>
          <w:p w:rsidR="00F763ED" w:rsidRPr="00A56EDA" w:rsidRDefault="00F763ED" w:rsidP="00566A45">
            <w:pPr>
              <w:rPr>
                <w:color w:val="000000"/>
              </w:rPr>
            </w:pPr>
            <w:r w:rsidRPr="00A56EDA">
              <w:rPr>
                <w:color w:val="000000"/>
              </w:rPr>
              <w:t>Thuế T</w:t>
            </w:r>
            <w:r w:rsidR="00566A45">
              <w:rPr>
                <w:color w:val="000000"/>
              </w:rPr>
              <w:t>N</w:t>
            </w:r>
            <w:r w:rsidRPr="00A56EDA">
              <w:rPr>
                <w:color w:val="000000"/>
              </w:rPr>
              <w:t>; Phí BVMT, khác</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23.786.000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23.786.000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r>
      <w:tr w:rsidR="00F763ED" w:rsidRPr="00A56EDA" w:rsidTr="000D7E6B">
        <w:trPr>
          <w:trHeight w:val="645"/>
          <w:jc w:val="right"/>
        </w:trPr>
        <w:tc>
          <w:tcPr>
            <w:tcW w:w="538" w:type="dxa"/>
            <w:tcBorders>
              <w:top w:val="nil"/>
              <w:left w:val="single" w:sz="8" w:space="0" w:color="auto"/>
              <w:bottom w:val="single" w:sz="8" w:space="0" w:color="auto"/>
              <w:right w:val="single" w:sz="8" w:space="0" w:color="auto"/>
            </w:tcBorders>
            <w:vAlign w:val="center"/>
            <w:hideMark/>
          </w:tcPr>
          <w:p w:rsidR="00F763ED" w:rsidRPr="00A56EDA" w:rsidRDefault="00F763ED" w:rsidP="00257B46">
            <w:pPr>
              <w:jc w:val="center"/>
              <w:rPr>
                <w:color w:val="000000"/>
              </w:rPr>
            </w:pPr>
            <w:r w:rsidRPr="00A56EDA">
              <w:rPr>
                <w:color w:val="000000"/>
              </w:rPr>
              <w:t>8</w:t>
            </w:r>
          </w:p>
        </w:tc>
        <w:tc>
          <w:tcPr>
            <w:tcW w:w="1730" w:type="dxa"/>
            <w:tcBorders>
              <w:top w:val="nil"/>
              <w:left w:val="nil"/>
              <w:bottom w:val="single" w:sz="8" w:space="0" w:color="auto"/>
              <w:right w:val="single" w:sz="8" w:space="0" w:color="auto"/>
            </w:tcBorders>
            <w:vAlign w:val="center"/>
            <w:hideMark/>
          </w:tcPr>
          <w:p w:rsidR="00F763ED" w:rsidRPr="00A56EDA" w:rsidRDefault="00F763ED" w:rsidP="00257B46">
            <w:pPr>
              <w:rPr>
                <w:color w:val="000000"/>
              </w:rPr>
            </w:pPr>
            <w:r w:rsidRPr="00A56EDA">
              <w:rPr>
                <w:color w:val="000000"/>
              </w:rPr>
              <w:t>Thuế Nhà đất, tiền thuê đất</w:t>
            </w:r>
          </w:p>
        </w:tc>
        <w:tc>
          <w:tcPr>
            <w:tcW w:w="1634"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813.045.361 </w:t>
            </w:r>
          </w:p>
        </w:tc>
        <w:tc>
          <w:tcPr>
            <w:tcW w:w="1905"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813.045.361 </w:t>
            </w:r>
          </w:p>
        </w:tc>
        <w:tc>
          <w:tcPr>
            <w:tcW w:w="1751" w:type="dxa"/>
            <w:tcBorders>
              <w:top w:val="nil"/>
              <w:left w:val="nil"/>
              <w:bottom w:val="single" w:sz="8" w:space="0" w:color="auto"/>
              <w:right w:val="single" w:sz="8" w:space="0" w:color="auto"/>
            </w:tcBorders>
            <w:vAlign w:val="center"/>
            <w:hideMark/>
          </w:tcPr>
          <w:p w:rsidR="00F763ED" w:rsidRPr="00A56EDA" w:rsidRDefault="00F763ED" w:rsidP="00257B46">
            <w:pPr>
              <w:jc w:val="right"/>
              <w:rPr>
                <w:color w:val="000000"/>
              </w:rPr>
            </w:pPr>
            <w:r w:rsidRPr="00A56EDA">
              <w:rPr>
                <w:color w:val="000000"/>
              </w:rPr>
              <w:t xml:space="preserve">                       -   </w:t>
            </w:r>
          </w:p>
        </w:tc>
      </w:tr>
      <w:tr w:rsidR="00F763ED" w:rsidRPr="00182DA8" w:rsidTr="000D7E6B">
        <w:trPr>
          <w:trHeight w:val="330"/>
          <w:jc w:val="right"/>
        </w:trPr>
        <w:tc>
          <w:tcPr>
            <w:tcW w:w="538" w:type="dxa"/>
            <w:tcBorders>
              <w:top w:val="nil"/>
              <w:left w:val="single" w:sz="8" w:space="0" w:color="auto"/>
              <w:bottom w:val="single" w:sz="8" w:space="0" w:color="auto"/>
              <w:right w:val="single" w:sz="8" w:space="0" w:color="auto"/>
            </w:tcBorders>
            <w:vAlign w:val="center"/>
            <w:hideMark/>
          </w:tcPr>
          <w:p w:rsidR="00F763ED" w:rsidRPr="00182DA8" w:rsidRDefault="00402501" w:rsidP="00257B46">
            <w:pPr>
              <w:jc w:val="center"/>
              <w:rPr>
                <w:color w:val="000000"/>
              </w:rPr>
            </w:pPr>
            <w:r w:rsidRPr="000D7E6B">
              <w:rPr>
                <w:color w:val="000000"/>
                <w:sz w:val="22"/>
                <w:szCs w:val="22"/>
              </w:rPr>
              <w:t> </w:t>
            </w:r>
          </w:p>
        </w:tc>
        <w:tc>
          <w:tcPr>
            <w:tcW w:w="1730" w:type="dxa"/>
            <w:tcBorders>
              <w:top w:val="nil"/>
              <w:left w:val="nil"/>
              <w:bottom w:val="single" w:sz="8" w:space="0" w:color="auto"/>
              <w:right w:val="single" w:sz="8" w:space="0" w:color="auto"/>
            </w:tcBorders>
            <w:vAlign w:val="center"/>
            <w:hideMark/>
          </w:tcPr>
          <w:p w:rsidR="00F763ED" w:rsidRPr="000D7E6B" w:rsidRDefault="00402501" w:rsidP="00257B46">
            <w:pPr>
              <w:rPr>
                <w:b/>
                <w:bCs/>
                <w:i/>
                <w:iCs/>
                <w:color w:val="000000"/>
                <w:sz w:val="20"/>
                <w:szCs w:val="20"/>
              </w:rPr>
            </w:pPr>
            <w:r w:rsidRPr="000D7E6B">
              <w:rPr>
                <w:b/>
                <w:bCs/>
                <w:i/>
                <w:iCs/>
                <w:color w:val="000000"/>
                <w:sz w:val="20"/>
                <w:szCs w:val="20"/>
              </w:rPr>
              <w:t>Tổng cộng 2020</w:t>
            </w:r>
          </w:p>
        </w:tc>
        <w:tc>
          <w:tcPr>
            <w:tcW w:w="1634" w:type="dxa"/>
            <w:tcBorders>
              <w:top w:val="nil"/>
              <w:left w:val="nil"/>
              <w:bottom w:val="single" w:sz="8" w:space="0" w:color="auto"/>
              <w:right w:val="single" w:sz="8" w:space="0" w:color="auto"/>
            </w:tcBorders>
            <w:vAlign w:val="center"/>
            <w:hideMark/>
          </w:tcPr>
          <w:p w:rsidR="00F763ED" w:rsidRPr="00182DA8" w:rsidRDefault="00402501" w:rsidP="00257B46">
            <w:pPr>
              <w:jc w:val="right"/>
              <w:rPr>
                <w:b/>
                <w:bCs/>
                <w:i/>
                <w:iCs/>
                <w:color w:val="000000"/>
              </w:rPr>
            </w:pPr>
            <w:r w:rsidRPr="000D7E6B">
              <w:rPr>
                <w:b/>
                <w:bCs/>
                <w:i/>
                <w:iCs/>
                <w:color w:val="000000"/>
                <w:sz w:val="22"/>
                <w:szCs w:val="22"/>
              </w:rPr>
              <w:t xml:space="preserve">  58.980.880.266 </w:t>
            </w:r>
          </w:p>
        </w:tc>
        <w:tc>
          <w:tcPr>
            <w:tcW w:w="1905" w:type="dxa"/>
            <w:tcBorders>
              <w:top w:val="nil"/>
              <w:left w:val="nil"/>
              <w:bottom w:val="single" w:sz="8" w:space="0" w:color="auto"/>
              <w:right w:val="single" w:sz="8" w:space="0" w:color="auto"/>
            </w:tcBorders>
            <w:vAlign w:val="center"/>
            <w:hideMark/>
          </w:tcPr>
          <w:p w:rsidR="00F763ED" w:rsidRPr="00182DA8" w:rsidRDefault="00402501" w:rsidP="00257B46">
            <w:pPr>
              <w:jc w:val="right"/>
              <w:rPr>
                <w:b/>
                <w:bCs/>
                <w:i/>
                <w:iCs/>
                <w:color w:val="000000"/>
              </w:rPr>
            </w:pPr>
            <w:r w:rsidRPr="000D7E6B">
              <w:rPr>
                <w:b/>
                <w:bCs/>
                <w:i/>
                <w:iCs/>
                <w:color w:val="000000"/>
                <w:sz w:val="22"/>
                <w:szCs w:val="22"/>
              </w:rPr>
              <w:t xml:space="preserve"> 561.748.430.704 </w:t>
            </w:r>
          </w:p>
        </w:tc>
        <w:tc>
          <w:tcPr>
            <w:tcW w:w="1905" w:type="dxa"/>
            <w:tcBorders>
              <w:top w:val="nil"/>
              <w:left w:val="nil"/>
              <w:bottom w:val="single" w:sz="8" w:space="0" w:color="auto"/>
              <w:right w:val="single" w:sz="8" w:space="0" w:color="auto"/>
            </w:tcBorders>
            <w:vAlign w:val="center"/>
            <w:hideMark/>
          </w:tcPr>
          <w:p w:rsidR="00F763ED" w:rsidRPr="00182DA8" w:rsidRDefault="00402501" w:rsidP="00257B46">
            <w:pPr>
              <w:jc w:val="right"/>
              <w:rPr>
                <w:b/>
                <w:bCs/>
                <w:i/>
                <w:iCs/>
                <w:color w:val="000000"/>
              </w:rPr>
            </w:pPr>
            <w:r w:rsidRPr="000D7E6B">
              <w:rPr>
                <w:b/>
                <w:bCs/>
                <w:i/>
                <w:iCs/>
                <w:color w:val="000000"/>
                <w:sz w:val="22"/>
                <w:szCs w:val="22"/>
              </w:rPr>
              <w:t xml:space="preserve"> 558.653.543.810 </w:t>
            </w:r>
          </w:p>
        </w:tc>
        <w:tc>
          <w:tcPr>
            <w:tcW w:w="1751" w:type="dxa"/>
            <w:tcBorders>
              <w:top w:val="nil"/>
              <w:left w:val="nil"/>
              <w:bottom w:val="single" w:sz="8" w:space="0" w:color="auto"/>
              <w:right w:val="single" w:sz="8" w:space="0" w:color="auto"/>
            </w:tcBorders>
            <w:vAlign w:val="center"/>
            <w:hideMark/>
          </w:tcPr>
          <w:p w:rsidR="00F763ED" w:rsidRPr="00182DA8" w:rsidRDefault="00402501" w:rsidP="00257B46">
            <w:pPr>
              <w:jc w:val="right"/>
              <w:rPr>
                <w:b/>
                <w:bCs/>
                <w:i/>
                <w:iCs/>
                <w:color w:val="000000"/>
              </w:rPr>
            </w:pPr>
            <w:r w:rsidRPr="000D7E6B">
              <w:rPr>
                <w:b/>
                <w:bCs/>
                <w:i/>
                <w:iCs/>
                <w:color w:val="000000"/>
                <w:sz w:val="22"/>
                <w:szCs w:val="22"/>
              </w:rPr>
              <w:t xml:space="preserve">62.075.767.160 </w:t>
            </w:r>
          </w:p>
        </w:tc>
      </w:tr>
    </w:tbl>
    <w:p w:rsidR="00481F07" w:rsidRDefault="00481F07" w:rsidP="000D7E6B">
      <w:pPr>
        <w:spacing w:after="120"/>
        <w:ind w:firstLine="567"/>
        <w:jc w:val="both"/>
        <w:rPr>
          <w:i/>
          <w:sz w:val="28"/>
          <w:szCs w:val="28"/>
          <w:lang w:val="nl-NL"/>
        </w:rPr>
      </w:pPr>
    </w:p>
    <w:p w:rsidR="00402501" w:rsidRDefault="00874FD7" w:rsidP="000D7E6B">
      <w:pPr>
        <w:spacing w:after="120"/>
        <w:ind w:firstLine="567"/>
        <w:jc w:val="both"/>
        <w:rPr>
          <w:i/>
          <w:sz w:val="28"/>
          <w:szCs w:val="28"/>
          <w:lang w:val="nl-NL"/>
        </w:rPr>
      </w:pPr>
      <w:r w:rsidRPr="00577EF1">
        <w:rPr>
          <w:i/>
          <w:sz w:val="28"/>
          <w:szCs w:val="28"/>
          <w:lang w:val="nl-NL"/>
        </w:rPr>
        <w:t>a) Việc in, phát hành, quản lý và sử dụng hóa đơn</w:t>
      </w:r>
    </w:p>
    <w:p w:rsidR="00402501" w:rsidRDefault="00ED7432" w:rsidP="000D7E6B">
      <w:pPr>
        <w:spacing w:after="120"/>
        <w:ind w:firstLine="567"/>
        <w:jc w:val="both"/>
        <w:rPr>
          <w:sz w:val="28"/>
          <w:szCs w:val="28"/>
          <w:lang w:val="nl-NL"/>
        </w:rPr>
      </w:pPr>
      <w:r w:rsidRPr="00BC74E8">
        <w:rPr>
          <w:sz w:val="28"/>
          <w:szCs w:val="28"/>
          <w:lang w:val="nl-NL"/>
        </w:rPr>
        <w:t xml:space="preserve">Công ty sử dụng hóa đơn theo hình thức đặt in tại Công ty Cổ phần </w:t>
      </w:r>
      <w:r w:rsidR="00182DA8">
        <w:rPr>
          <w:sz w:val="28"/>
          <w:szCs w:val="28"/>
          <w:lang w:val="nl-NL"/>
        </w:rPr>
        <w:t>I</w:t>
      </w:r>
      <w:r w:rsidRPr="00BC74E8">
        <w:rPr>
          <w:sz w:val="28"/>
          <w:szCs w:val="28"/>
          <w:lang w:val="nl-NL"/>
        </w:rPr>
        <w:t>n Hà Tĩnh. Trong kỳ thanh tra, từ ngày 01/01/2020 đến ngày 31/12/2020, tồn kỳ trước chuyển sang 1.387 hóa đơn, phát hành mới 2.500 hóa đơn, sử dụng 3.145 hóa đơn, xóa 40 hóa đơn, tồn cuối kỳ 702 hóa đơn (từ số 0001799 đến 0002500)</w:t>
      </w:r>
      <w:r w:rsidR="00182DA8">
        <w:rPr>
          <w:sz w:val="28"/>
          <w:szCs w:val="28"/>
          <w:lang w:val="nl-NL"/>
        </w:rPr>
        <w:t>.</w:t>
      </w:r>
    </w:p>
    <w:p w:rsidR="00402501" w:rsidRDefault="00ED7432" w:rsidP="000D7E6B">
      <w:pPr>
        <w:spacing w:after="120"/>
        <w:ind w:firstLine="567"/>
        <w:jc w:val="both"/>
        <w:rPr>
          <w:sz w:val="28"/>
          <w:szCs w:val="28"/>
          <w:lang w:val="nl-NL"/>
        </w:rPr>
      </w:pPr>
      <w:r w:rsidRPr="00BC74E8">
        <w:rPr>
          <w:sz w:val="28"/>
          <w:szCs w:val="28"/>
          <w:lang w:val="nl-NL"/>
        </w:rPr>
        <w:t>Qua kiểm tra, Công ty phát hành, sử dụng, quản lý hóa đơn đã đảm bảo quy định tại Thông tư số 39/2014/TT-BTC ngày 31/3/2014; Thông tư số 26/2015/TT-BTC ngày 27/02/2015 của Bộ Tài chính về hướng dẫn thi hành Nghị định của Chính phủ quy định về hóa đơn bán hàng, cung ứng dịch vụ.</w:t>
      </w:r>
    </w:p>
    <w:p w:rsidR="00402501" w:rsidRDefault="00874FD7" w:rsidP="000D7E6B">
      <w:pPr>
        <w:spacing w:after="120"/>
        <w:ind w:firstLine="567"/>
        <w:jc w:val="both"/>
        <w:rPr>
          <w:i/>
          <w:sz w:val="28"/>
          <w:szCs w:val="28"/>
          <w:lang w:val="nl-NL"/>
        </w:rPr>
      </w:pPr>
      <w:r w:rsidRPr="00577EF1">
        <w:rPr>
          <w:i/>
          <w:sz w:val="28"/>
          <w:szCs w:val="28"/>
          <w:lang w:val="nl-NL"/>
        </w:rPr>
        <w:t>b</w:t>
      </w:r>
      <w:r w:rsidRPr="00577EF1">
        <w:rPr>
          <w:i/>
          <w:sz w:val="28"/>
          <w:szCs w:val="28"/>
          <w:lang w:val="vi-VN"/>
        </w:rPr>
        <w:t xml:space="preserve">) Về thuế </w:t>
      </w:r>
      <w:r w:rsidR="00E703E4" w:rsidRPr="00577EF1">
        <w:rPr>
          <w:i/>
          <w:sz w:val="28"/>
          <w:szCs w:val="28"/>
          <w:lang w:val="nl-NL"/>
        </w:rPr>
        <w:t>g</w:t>
      </w:r>
      <w:r w:rsidRPr="00577EF1">
        <w:rPr>
          <w:i/>
          <w:sz w:val="28"/>
          <w:szCs w:val="28"/>
          <w:lang w:val="nl-NL"/>
        </w:rPr>
        <w:t>iá trị gia tăng (</w:t>
      </w:r>
      <w:r w:rsidRPr="00577EF1">
        <w:rPr>
          <w:i/>
          <w:sz w:val="28"/>
          <w:szCs w:val="28"/>
          <w:lang w:val="vi-VN"/>
        </w:rPr>
        <w:t>GTGT</w:t>
      </w:r>
      <w:r w:rsidRPr="00577EF1">
        <w:rPr>
          <w:i/>
          <w:sz w:val="28"/>
          <w:szCs w:val="28"/>
          <w:lang w:val="nl-NL"/>
        </w:rPr>
        <w:t>)</w:t>
      </w:r>
      <w:r w:rsidRPr="00577EF1">
        <w:rPr>
          <w:i/>
          <w:sz w:val="28"/>
          <w:szCs w:val="28"/>
          <w:lang w:val="vi-VN"/>
        </w:rPr>
        <w:t>, thuế</w:t>
      </w:r>
      <w:r w:rsidRPr="00577EF1">
        <w:rPr>
          <w:i/>
          <w:sz w:val="28"/>
          <w:szCs w:val="28"/>
          <w:lang w:val="nl-NL"/>
        </w:rPr>
        <w:t xml:space="preserve"> thu nhập doanh nghiệp (</w:t>
      </w:r>
      <w:r w:rsidRPr="00577EF1">
        <w:rPr>
          <w:i/>
          <w:sz w:val="28"/>
          <w:szCs w:val="28"/>
          <w:lang w:val="vi-VN"/>
        </w:rPr>
        <w:t>TNDN</w:t>
      </w:r>
      <w:r w:rsidRPr="00577EF1">
        <w:rPr>
          <w:i/>
          <w:sz w:val="28"/>
          <w:szCs w:val="28"/>
          <w:lang w:val="nl-NL"/>
        </w:rPr>
        <w:t>)</w:t>
      </w:r>
    </w:p>
    <w:p w:rsidR="00402501" w:rsidRDefault="00ED7432" w:rsidP="000D7E6B">
      <w:pPr>
        <w:tabs>
          <w:tab w:val="left" w:pos="4153"/>
        </w:tabs>
        <w:spacing w:after="120"/>
        <w:ind w:firstLine="567"/>
        <w:jc w:val="both"/>
        <w:rPr>
          <w:sz w:val="28"/>
          <w:szCs w:val="28"/>
          <w:lang w:val="nl-NL"/>
        </w:rPr>
      </w:pPr>
      <w:r w:rsidRPr="00BC74E8">
        <w:rPr>
          <w:sz w:val="28"/>
          <w:szCs w:val="28"/>
          <w:lang w:val="nl-NL"/>
        </w:rPr>
        <w:t>Công ty kê khai thuế GTGT theo phương pháp khấu trừ định kỳ hằng tháng; kê khai và quyết toán thuế TNDN, TNCN định kỳ hằng năm. Qua kiểm tra Công ty kê khai kịp thời, đúng mẫu biểu quy định, hằng quý đã ước tính số thuế TNDN phải nộp để tạm nộp theo quy định</w:t>
      </w:r>
      <w:r w:rsidR="00241B5E">
        <w:rPr>
          <w:sz w:val="28"/>
          <w:szCs w:val="28"/>
          <w:lang w:val="nl-NL"/>
        </w:rPr>
        <w:t>.</w:t>
      </w:r>
    </w:p>
    <w:p w:rsidR="00402501" w:rsidRDefault="00ED7432" w:rsidP="000D7E6B">
      <w:pPr>
        <w:spacing w:after="120"/>
        <w:ind w:firstLine="567"/>
        <w:jc w:val="both"/>
        <w:rPr>
          <w:b/>
          <w:sz w:val="28"/>
          <w:szCs w:val="28"/>
          <w:lang w:val="nl-NL"/>
        </w:rPr>
      </w:pPr>
      <w:r w:rsidRPr="00BC74E8">
        <w:rPr>
          <w:b/>
          <w:sz w:val="28"/>
          <w:szCs w:val="28"/>
          <w:lang w:val="nl-NL"/>
        </w:rPr>
        <w:t>- Về doanh thu, thuế GTGT đầu ra</w:t>
      </w:r>
    </w:p>
    <w:p w:rsidR="00402501" w:rsidRDefault="00C31AA4" w:rsidP="000D7E6B">
      <w:pPr>
        <w:spacing w:after="120"/>
        <w:ind w:firstLine="567"/>
        <w:jc w:val="both"/>
        <w:rPr>
          <w:sz w:val="28"/>
          <w:szCs w:val="28"/>
          <w:lang w:val="nl-NL"/>
        </w:rPr>
      </w:pPr>
      <w:r>
        <w:rPr>
          <w:sz w:val="28"/>
          <w:szCs w:val="28"/>
          <w:lang w:val="nl-NL"/>
        </w:rPr>
        <w:t>Toàn bộ sản phẩm do Công ty sản xuất (Bia lon và Malt) đều do Tông công ty bao tiêu,</w:t>
      </w:r>
      <w:r w:rsidR="00481F07">
        <w:rPr>
          <w:sz w:val="28"/>
          <w:szCs w:val="28"/>
          <w:lang w:val="nl-NL"/>
        </w:rPr>
        <w:t xml:space="preserve"> </w:t>
      </w:r>
      <w:r>
        <w:rPr>
          <w:sz w:val="28"/>
          <w:szCs w:val="28"/>
          <w:lang w:val="nl-NL"/>
        </w:rPr>
        <w:t>thông qua hợp đồng; hàng xuất thực hiện qua hóa đơn GTGT.</w:t>
      </w:r>
    </w:p>
    <w:p w:rsidR="00402501" w:rsidRDefault="00ED7432" w:rsidP="000D7E6B">
      <w:pPr>
        <w:spacing w:after="120"/>
        <w:ind w:firstLine="567"/>
        <w:jc w:val="both"/>
        <w:rPr>
          <w:sz w:val="28"/>
          <w:szCs w:val="28"/>
          <w:lang w:val="nl-NL"/>
        </w:rPr>
      </w:pPr>
      <w:r w:rsidRPr="00BC74E8">
        <w:rPr>
          <w:sz w:val="28"/>
          <w:szCs w:val="28"/>
          <w:lang w:val="nl-NL"/>
        </w:rPr>
        <w:t>Tổng doanh thu và thu nhập: 543.629.782.477 đồng (chi tiết có bảng trên). Qua kiểm tra hồ sơ do Công ty cung cấp, đối chiếu với tiền phát sinh trên tài khoản ngân hàng, sổ tiền mặt, sổ theo dõi công nợ, Công ty hạch toán, kê khai doanh thu đầy đủ, kịp thời, không có chênh lệch với số liệu của Đoàn thanh tra</w:t>
      </w:r>
      <w:r w:rsidR="00241B5E">
        <w:rPr>
          <w:sz w:val="28"/>
          <w:szCs w:val="28"/>
          <w:lang w:val="nl-NL"/>
        </w:rPr>
        <w:t>.</w:t>
      </w:r>
    </w:p>
    <w:p w:rsidR="00402501" w:rsidRDefault="00ED7432" w:rsidP="000D7E6B">
      <w:pPr>
        <w:spacing w:after="120"/>
        <w:ind w:firstLine="567"/>
        <w:jc w:val="both"/>
        <w:rPr>
          <w:b/>
          <w:sz w:val="28"/>
          <w:szCs w:val="28"/>
          <w:lang w:val="nl-NL"/>
        </w:rPr>
      </w:pPr>
      <w:r w:rsidRPr="00BC74E8">
        <w:rPr>
          <w:b/>
          <w:sz w:val="28"/>
          <w:szCs w:val="28"/>
          <w:lang w:val="nl-NL"/>
        </w:rPr>
        <w:t>- Về chi phí, thuế GTGT khấu trừ</w:t>
      </w:r>
    </w:p>
    <w:p w:rsidR="00402501" w:rsidRDefault="00C31AA4" w:rsidP="000D7E6B">
      <w:pPr>
        <w:spacing w:after="120"/>
        <w:ind w:firstLine="567"/>
        <w:jc w:val="both"/>
        <w:rPr>
          <w:sz w:val="28"/>
          <w:szCs w:val="28"/>
          <w:lang w:val="nl-NL"/>
        </w:rPr>
      </w:pPr>
      <w:r>
        <w:rPr>
          <w:rFonts w:asciiTheme="majorHAnsi" w:hAnsiTheme="majorHAnsi" w:cstheme="majorHAnsi"/>
          <w:sz w:val="28"/>
          <w:szCs w:val="28"/>
          <w:lang w:val="nl-NL"/>
        </w:rPr>
        <w:t>Nguồn nguyên liệu chủ yếu để sản xuất Bia (Malt, houblon, gạo, lon nhôm...) do T</w:t>
      </w:r>
      <w:r w:rsidR="00182DA8">
        <w:rPr>
          <w:rFonts w:asciiTheme="majorHAnsi" w:hAnsiTheme="majorHAnsi" w:cstheme="majorHAnsi"/>
          <w:sz w:val="28"/>
          <w:szCs w:val="28"/>
          <w:lang w:val="nl-NL"/>
        </w:rPr>
        <w:t>ổ</w:t>
      </w:r>
      <w:r>
        <w:rPr>
          <w:rFonts w:asciiTheme="majorHAnsi" w:hAnsiTheme="majorHAnsi" w:cstheme="majorHAnsi"/>
          <w:sz w:val="28"/>
          <w:szCs w:val="28"/>
          <w:lang w:val="nl-NL"/>
        </w:rPr>
        <w:t>ng công ty cung cấp trực tiếp hoặc đấu giá (gạo).</w:t>
      </w:r>
    </w:p>
    <w:p w:rsidR="00402501" w:rsidRDefault="00ED7432" w:rsidP="000D7E6B">
      <w:pPr>
        <w:spacing w:after="120"/>
        <w:ind w:firstLine="567"/>
        <w:jc w:val="both"/>
        <w:rPr>
          <w:b/>
          <w:bCs/>
          <w:i/>
          <w:sz w:val="28"/>
          <w:szCs w:val="28"/>
          <w:lang w:val="nl-NL" w:eastAsia="vi-VN"/>
        </w:rPr>
      </w:pPr>
      <w:r w:rsidRPr="00BC74E8">
        <w:rPr>
          <w:sz w:val="28"/>
          <w:szCs w:val="28"/>
          <w:lang w:val="nl-NL"/>
        </w:rPr>
        <w:t>Tổng chi phí: 481.473.033.393 đồng (chi tiết có bảng trên). Qua kiểm tra các chi phí đã được tập hợp, phân bổ, hạch toán, kê khai đảm bảo quy định</w:t>
      </w:r>
      <w:r w:rsidR="00780451" w:rsidRPr="00BC74E8">
        <w:rPr>
          <w:sz w:val="28"/>
          <w:szCs w:val="28"/>
          <w:lang w:val="nl-NL"/>
        </w:rPr>
        <w:t xml:space="preserve"> không chênh lệch so với số liệu </w:t>
      </w:r>
      <w:r w:rsidR="00E30D72">
        <w:rPr>
          <w:sz w:val="28"/>
          <w:szCs w:val="28"/>
          <w:lang w:val="nl-NL"/>
        </w:rPr>
        <w:t xml:space="preserve">của Đoàn </w:t>
      </w:r>
      <w:r w:rsidR="00780451" w:rsidRPr="00BC74E8">
        <w:rPr>
          <w:sz w:val="28"/>
          <w:szCs w:val="28"/>
          <w:lang w:val="nl-NL"/>
        </w:rPr>
        <w:t>thanh tra</w:t>
      </w:r>
      <w:r w:rsidR="00C31AA4">
        <w:rPr>
          <w:sz w:val="28"/>
          <w:szCs w:val="28"/>
          <w:lang w:val="nl-NL"/>
        </w:rPr>
        <w:t>.</w:t>
      </w:r>
    </w:p>
    <w:p w:rsidR="00402501" w:rsidRDefault="002A26B7" w:rsidP="000D7E6B">
      <w:pPr>
        <w:spacing w:after="120"/>
        <w:ind w:firstLine="567"/>
        <w:jc w:val="both"/>
        <w:rPr>
          <w:color w:val="000000"/>
          <w:sz w:val="28"/>
          <w:szCs w:val="28"/>
          <w:lang w:val="vi-VN"/>
        </w:rPr>
      </w:pPr>
      <w:r w:rsidRPr="00577EF1">
        <w:rPr>
          <w:i/>
          <w:sz w:val="28"/>
          <w:szCs w:val="28"/>
          <w:lang w:val="vi-VN"/>
        </w:rPr>
        <w:t>c</w:t>
      </w:r>
      <w:r w:rsidR="00180AAF" w:rsidRPr="00577EF1">
        <w:rPr>
          <w:i/>
          <w:sz w:val="28"/>
          <w:szCs w:val="28"/>
          <w:lang w:val="vi-VN"/>
        </w:rPr>
        <w:t xml:space="preserve">) Về thuế </w:t>
      </w:r>
      <w:r w:rsidR="00180AAF" w:rsidRPr="00577EF1">
        <w:rPr>
          <w:i/>
          <w:sz w:val="28"/>
          <w:szCs w:val="28"/>
          <w:lang w:val="nl-NL"/>
        </w:rPr>
        <w:t xml:space="preserve">thu nhập cá nhân </w:t>
      </w:r>
    </w:p>
    <w:p w:rsidR="00402501" w:rsidRDefault="00ED7432" w:rsidP="000D7E6B">
      <w:pPr>
        <w:spacing w:after="120"/>
        <w:ind w:firstLine="567"/>
        <w:jc w:val="both"/>
        <w:rPr>
          <w:sz w:val="28"/>
          <w:szCs w:val="28"/>
          <w:lang w:val="vi-VN"/>
        </w:rPr>
      </w:pPr>
      <w:r w:rsidRPr="00BC74E8">
        <w:rPr>
          <w:sz w:val="28"/>
          <w:szCs w:val="28"/>
          <w:lang w:val="vi-VN"/>
        </w:rPr>
        <w:t>Tổng thu nhập chịu thuế (TNCT) trả cho cá nhân phát sinh trong</w:t>
      </w:r>
      <w:r w:rsidRPr="00B701D5">
        <w:rPr>
          <w:sz w:val="28"/>
          <w:szCs w:val="28"/>
          <w:lang w:val="vi-VN"/>
        </w:rPr>
        <w:t xml:space="preserve"> năm</w:t>
      </w:r>
      <w:r w:rsidR="00481F07" w:rsidRPr="000D7E6B">
        <w:rPr>
          <w:sz w:val="28"/>
          <w:szCs w:val="28"/>
          <w:lang w:val="vi-VN"/>
        </w:rPr>
        <w:t xml:space="preserve"> </w:t>
      </w:r>
      <w:r w:rsidRPr="00BC74E8">
        <w:rPr>
          <w:sz w:val="28"/>
          <w:szCs w:val="28"/>
          <w:lang w:val="nl-NL"/>
        </w:rPr>
        <w:t xml:space="preserve">là </w:t>
      </w:r>
      <w:r w:rsidRPr="00B701D5">
        <w:rPr>
          <w:sz w:val="28"/>
          <w:szCs w:val="28"/>
          <w:lang w:val="vi-VN"/>
        </w:rPr>
        <w:t>28.130.926.512</w:t>
      </w:r>
      <w:r w:rsidRPr="00BC74E8">
        <w:rPr>
          <w:sz w:val="28"/>
          <w:szCs w:val="28"/>
          <w:lang w:val="nl-NL"/>
        </w:rPr>
        <w:t xml:space="preserve"> đồng/117 người lao động </w:t>
      </w:r>
      <w:r w:rsidRPr="00BC74E8">
        <w:rPr>
          <w:sz w:val="28"/>
          <w:szCs w:val="28"/>
          <w:lang w:val="vi-VN"/>
        </w:rPr>
        <w:t xml:space="preserve">có nghĩa vụ phải </w:t>
      </w:r>
      <w:r w:rsidRPr="00B701D5">
        <w:rPr>
          <w:sz w:val="28"/>
          <w:szCs w:val="28"/>
          <w:lang w:val="vi-VN"/>
        </w:rPr>
        <w:t>khấu trừ thuế. Trong đó, có 114 cá nhân cư trú có ký hợp đồng lao động, 3 cá nhân là hội đồng thành viên thuộc đối tượng tính thuế TNCN theo thuế suất toàn phần.</w:t>
      </w:r>
    </w:p>
    <w:p w:rsidR="00402501" w:rsidRDefault="00ED7432" w:rsidP="00402501">
      <w:pPr>
        <w:spacing w:after="120"/>
        <w:ind w:firstLine="567"/>
        <w:jc w:val="both"/>
        <w:rPr>
          <w:b/>
          <w:sz w:val="28"/>
          <w:szCs w:val="28"/>
          <w:lang w:val="pt-BR"/>
        </w:rPr>
      </w:pPr>
      <w:r w:rsidRPr="00BC74E8">
        <w:rPr>
          <w:sz w:val="28"/>
          <w:szCs w:val="28"/>
          <w:lang w:val="vi-VN"/>
        </w:rPr>
        <w:t>Kết quả kiểm tra các đối tượng lao động đã được cấp MST đầy đủ. Công ty đã kê khai, quyết toán thuế TNCN theo quy định và không chênh lệch với số liệu Đoàn thanh tra</w:t>
      </w:r>
      <w:r w:rsidRPr="00B701D5">
        <w:rPr>
          <w:sz w:val="28"/>
          <w:szCs w:val="28"/>
          <w:lang w:val="vi-VN"/>
        </w:rPr>
        <w:t>.</w:t>
      </w:r>
    </w:p>
    <w:p w:rsidR="00402501" w:rsidRDefault="00FE5DDF" w:rsidP="000D7E6B">
      <w:pPr>
        <w:spacing w:after="120"/>
        <w:ind w:firstLine="567"/>
        <w:jc w:val="both"/>
        <w:rPr>
          <w:b/>
          <w:sz w:val="28"/>
          <w:szCs w:val="28"/>
          <w:lang w:val="pt-BR"/>
        </w:rPr>
      </w:pPr>
      <w:r w:rsidRPr="00577EF1">
        <w:rPr>
          <w:b/>
          <w:sz w:val="28"/>
          <w:szCs w:val="28"/>
          <w:lang w:val="pt-BR"/>
        </w:rPr>
        <w:t>3. Thực hiện nghĩa vụ với người lao động</w:t>
      </w:r>
    </w:p>
    <w:p w:rsidR="00402501" w:rsidRPr="000D7E6B" w:rsidRDefault="00B70AE9" w:rsidP="000D7E6B">
      <w:pPr>
        <w:spacing w:after="120"/>
        <w:ind w:firstLine="567"/>
        <w:jc w:val="both"/>
        <w:rPr>
          <w:i/>
          <w:sz w:val="28"/>
          <w:szCs w:val="28"/>
          <w:lang w:val="pt-BR"/>
        </w:rPr>
      </w:pPr>
      <w:r w:rsidRPr="00BC74E8">
        <w:rPr>
          <w:i/>
          <w:sz w:val="28"/>
          <w:szCs w:val="28"/>
          <w:lang w:val="nl-NL"/>
        </w:rPr>
        <w:t>3.1.</w:t>
      </w:r>
      <w:r w:rsidR="00402501" w:rsidRPr="000D7E6B">
        <w:rPr>
          <w:i/>
          <w:sz w:val="28"/>
          <w:szCs w:val="28"/>
          <w:lang w:val="vi-VN"/>
        </w:rPr>
        <w:t>C</w:t>
      </w:r>
      <w:r w:rsidRPr="00BC74E8">
        <w:rPr>
          <w:i/>
          <w:sz w:val="28"/>
          <w:szCs w:val="28"/>
          <w:lang w:val="vi-VN"/>
        </w:rPr>
        <w:t>hấp hành pháp luật về lao động và tiền lương</w:t>
      </w:r>
    </w:p>
    <w:p w:rsidR="00402501" w:rsidRDefault="00B70AE9" w:rsidP="000D7E6B">
      <w:pPr>
        <w:pStyle w:val="tit"/>
        <w:spacing w:after="120"/>
        <w:ind w:firstLine="567"/>
        <w:jc w:val="both"/>
        <w:rPr>
          <w:rFonts w:ascii="Times New Roman" w:hAnsi="Times New Roman"/>
          <w:b w:val="0"/>
          <w:sz w:val="28"/>
          <w:szCs w:val="28"/>
          <w:lang w:val="nl-NL"/>
        </w:rPr>
      </w:pPr>
      <w:r w:rsidRPr="00BC74E8">
        <w:rPr>
          <w:rFonts w:ascii="Times New Roman" w:hAnsi="Times New Roman"/>
          <w:b w:val="0"/>
          <w:sz w:val="28"/>
          <w:szCs w:val="28"/>
          <w:lang w:val="nl-NL"/>
        </w:rPr>
        <w:lastRenderedPageBreak/>
        <w:t>- Công ty ký hợp đồng lao động với 114 người</w:t>
      </w:r>
      <w:r w:rsidR="00182DA8">
        <w:rPr>
          <w:rFonts w:ascii="Times New Roman" w:hAnsi="Times New Roman"/>
          <w:b w:val="0"/>
          <w:sz w:val="28"/>
          <w:szCs w:val="28"/>
          <w:vertAlign w:val="superscript"/>
          <w:lang w:val="nl-NL"/>
        </w:rPr>
        <w:t>(</w:t>
      </w:r>
      <w:r w:rsidR="00780451" w:rsidRPr="00BC74E8">
        <w:rPr>
          <w:rStyle w:val="FootnoteReference"/>
          <w:rFonts w:ascii="Times New Roman" w:hAnsi="Times New Roman"/>
          <w:b w:val="0"/>
          <w:sz w:val="28"/>
          <w:szCs w:val="28"/>
          <w:lang w:val="nl-NL"/>
        </w:rPr>
        <w:footnoteReference w:id="3"/>
      </w:r>
      <w:r w:rsidR="00182DA8">
        <w:rPr>
          <w:rFonts w:ascii="Times New Roman" w:hAnsi="Times New Roman"/>
          <w:b w:val="0"/>
          <w:sz w:val="28"/>
          <w:szCs w:val="28"/>
          <w:vertAlign w:val="superscript"/>
          <w:lang w:val="nl-NL"/>
        </w:rPr>
        <w:t>)</w:t>
      </w:r>
      <w:r w:rsidRPr="00BC74E8">
        <w:rPr>
          <w:rFonts w:ascii="Times New Roman" w:hAnsi="Times New Roman"/>
          <w:b w:val="0"/>
          <w:sz w:val="28"/>
          <w:szCs w:val="28"/>
          <w:lang w:val="nl-NL"/>
        </w:rPr>
        <w:t>, các hợp đồng lao động được ký đảm bảo đúng</w:t>
      </w:r>
      <w:r w:rsidR="003275B3" w:rsidRPr="003275B3">
        <w:rPr>
          <w:rFonts w:ascii="Times New Roman" w:hAnsi="Times New Roman"/>
          <w:b w:val="0"/>
          <w:sz w:val="28"/>
          <w:szCs w:val="28"/>
          <w:lang w:val="nl-NL"/>
        </w:rPr>
        <w:t xml:space="preserve"> quy định</w:t>
      </w:r>
      <w:r w:rsidR="003275B3">
        <w:rPr>
          <w:rFonts w:ascii="Times New Roman" w:hAnsi="Times New Roman"/>
          <w:b w:val="0"/>
          <w:sz w:val="28"/>
          <w:szCs w:val="28"/>
          <w:lang w:val="nl-NL"/>
        </w:rPr>
        <w:t>;</w:t>
      </w:r>
      <w:r w:rsidRPr="00BC74E8">
        <w:rPr>
          <w:rFonts w:ascii="Times New Roman" w:hAnsi="Times New Roman"/>
          <w:b w:val="0"/>
          <w:sz w:val="28"/>
          <w:szCs w:val="28"/>
          <w:lang w:val="nl-NL"/>
        </w:rPr>
        <w:t xml:space="preserve"> chi trả lương, thu nhập cho người lao động đầy đủ, kịp thời. </w:t>
      </w:r>
    </w:p>
    <w:p w:rsidR="00402501" w:rsidRDefault="00B70AE9" w:rsidP="000D7E6B">
      <w:pPr>
        <w:spacing w:after="120"/>
        <w:ind w:firstLine="567"/>
        <w:jc w:val="both"/>
        <w:rPr>
          <w:sz w:val="28"/>
          <w:szCs w:val="28"/>
          <w:lang w:val="vi-VN"/>
        </w:rPr>
      </w:pPr>
      <w:r w:rsidRPr="00BC74E8">
        <w:rPr>
          <w:sz w:val="28"/>
          <w:szCs w:val="28"/>
          <w:lang w:val="nl-NL"/>
        </w:rPr>
        <w:t xml:space="preserve">- </w:t>
      </w:r>
      <w:r w:rsidRPr="00BC74E8">
        <w:rPr>
          <w:sz w:val="28"/>
          <w:szCs w:val="28"/>
          <w:lang w:val="vi-VN"/>
        </w:rPr>
        <w:t xml:space="preserve">Công ty </w:t>
      </w:r>
      <w:r w:rsidRPr="00BC74E8">
        <w:rPr>
          <w:sz w:val="28"/>
          <w:szCs w:val="28"/>
          <w:lang w:val="nl-NL"/>
        </w:rPr>
        <w:t xml:space="preserve">đã </w:t>
      </w:r>
      <w:r w:rsidRPr="00BC74E8">
        <w:rPr>
          <w:sz w:val="28"/>
          <w:szCs w:val="28"/>
          <w:lang w:val="vi-VN"/>
        </w:rPr>
        <w:t xml:space="preserve">xây dựng thang, bảng lương của </w:t>
      </w:r>
      <w:r w:rsidRPr="00BC74E8">
        <w:rPr>
          <w:sz w:val="28"/>
          <w:szCs w:val="28"/>
          <w:lang w:val="nl-NL"/>
        </w:rPr>
        <w:t>n</w:t>
      </w:r>
      <w:r w:rsidRPr="00BC74E8">
        <w:rPr>
          <w:sz w:val="28"/>
          <w:szCs w:val="28"/>
          <w:lang w:val="vi-VN"/>
        </w:rPr>
        <w:t xml:space="preserve">gười lao động gửi cơ quan quản lý </w:t>
      </w:r>
      <w:r w:rsidRPr="00B701D5">
        <w:rPr>
          <w:sz w:val="28"/>
          <w:szCs w:val="28"/>
          <w:lang w:val="nl-NL"/>
        </w:rPr>
        <w:t>(</w:t>
      </w:r>
      <w:r w:rsidRPr="00BC74E8">
        <w:rPr>
          <w:sz w:val="28"/>
          <w:szCs w:val="28"/>
          <w:lang w:val="vi-VN"/>
        </w:rPr>
        <w:t xml:space="preserve">Phòng </w:t>
      </w:r>
      <w:r w:rsidRPr="00B701D5">
        <w:rPr>
          <w:sz w:val="28"/>
          <w:szCs w:val="28"/>
          <w:lang w:val="nl-NL"/>
        </w:rPr>
        <w:t>LĐ</w:t>
      </w:r>
      <w:r w:rsidRPr="00BC74E8">
        <w:rPr>
          <w:sz w:val="28"/>
          <w:szCs w:val="28"/>
          <w:lang w:val="nl-NL"/>
        </w:rPr>
        <w:t>TB&amp;XH</w:t>
      </w:r>
      <w:r w:rsidR="00481F07">
        <w:rPr>
          <w:sz w:val="28"/>
          <w:szCs w:val="28"/>
          <w:lang w:val="nl-NL"/>
        </w:rPr>
        <w:t xml:space="preserve"> </w:t>
      </w:r>
      <w:r w:rsidRPr="00BC74E8">
        <w:rPr>
          <w:sz w:val="28"/>
          <w:szCs w:val="28"/>
          <w:lang w:val="nl-NL"/>
        </w:rPr>
        <w:t>huyện Thạch Hà)</w:t>
      </w:r>
      <w:r w:rsidRPr="00BC74E8">
        <w:rPr>
          <w:sz w:val="28"/>
          <w:szCs w:val="28"/>
          <w:lang w:val="vi-VN"/>
        </w:rPr>
        <w:t xml:space="preserve"> để theo dõi</w:t>
      </w:r>
      <w:r w:rsidRPr="00BC74E8">
        <w:rPr>
          <w:sz w:val="28"/>
          <w:szCs w:val="28"/>
          <w:lang w:val="nl-NL"/>
        </w:rPr>
        <w:t xml:space="preserve"> theo quy định tại Điều 7 Nghị định số 49/2013/NĐ-CP ngày 14/5/2013 quy định chi tiết một số điều của Bộ luật Lao động; thực hiện</w:t>
      </w:r>
      <w:r w:rsidRPr="00BC74E8">
        <w:rPr>
          <w:sz w:val="28"/>
          <w:szCs w:val="28"/>
          <w:lang w:val="vi-VN"/>
        </w:rPr>
        <w:t xml:space="preserve"> báo cáo tình hình sử dụng lao động gửi Phòng </w:t>
      </w:r>
      <w:r w:rsidRPr="00BC74E8">
        <w:rPr>
          <w:sz w:val="28"/>
          <w:szCs w:val="28"/>
          <w:lang w:val="nl-NL"/>
        </w:rPr>
        <w:t>LĐTB&amp;XH</w:t>
      </w:r>
      <w:r w:rsidR="00481F07">
        <w:rPr>
          <w:sz w:val="28"/>
          <w:szCs w:val="28"/>
          <w:lang w:val="nl-NL"/>
        </w:rPr>
        <w:t xml:space="preserve"> </w:t>
      </w:r>
      <w:r w:rsidRPr="00BC74E8">
        <w:rPr>
          <w:sz w:val="28"/>
          <w:szCs w:val="28"/>
          <w:lang w:val="nl-NL"/>
        </w:rPr>
        <w:t xml:space="preserve">huyện Thạch Hà </w:t>
      </w:r>
      <w:r w:rsidRPr="00BC74E8">
        <w:rPr>
          <w:sz w:val="28"/>
          <w:szCs w:val="28"/>
          <w:lang w:val="vi-VN"/>
        </w:rPr>
        <w:t xml:space="preserve">theo quy định tại Khoản 2, Điều 6, </w:t>
      </w:r>
      <w:r w:rsidRPr="00BC74E8">
        <w:rPr>
          <w:bCs/>
          <w:sz w:val="28"/>
          <w:szCs w:val="28"/>
          <w:lang w:val="vi-VN"/>
        </w:rPr>
        <w:t>Thông tư số 23/2014/TT-BLĐTBXH ngày 29/8/2014</w:t>
      </w:r>
      <w:r w:rsidR="00481F07" w:rsidRPr="000D7E6B">
        <w:rPr>
          <w:bCs/>
          <w:sz w:val="28"/>
          <w:szCs w:val="28"/>
          <w:lang w:val="nl-NL"/>
        </w:rPr>
        <w:t xml:space="preserve"> </w:t>
      </w:r>
      <w:r w:rsidRPr="00BC74E8">
        <w:rPr>
          <w:sz w:val="28"/>
          <w:szCs w:val="28"/>
          <w:lang w:val="vi-VN"/>
        </w:rPr>
        <w:t xml:space="preserve">của Bộ </w:t>
      </w:r>
      <w:r w:rsidRPr="00BC74E8">
        <w:rPr>
          <w:sz w:val="28"/>
          <w:szCs w:val="28"/>
          <w:lang w:val="nl-NL"/>
        </w:rPr>
        <w:t xml:space="preserve">LĐTB&amp;XH; đã sử dụng hệ thống phần mềm để </w:t>
      </w:r>
      <w:r w:rsidRPr="00BC74E8">
        <w:rPr>
          <w:bCs/>
          <w:sz w:val="28"/>
          <w:szCs w:val="28"/>
          <w:lang w:val="nl-NL"/>
        </w:rPr>
        <w:t xml:space="preserve">theo dõi, </w:t>
      </w:r>
      <w:r w:rsidRPr="00BC74E8">
        <w:rPr>
          <w:bCs/>
          <w:sz w:val="28"/>
          <w:szCs w:val="28"/>
          <w:lang w:val="vi-VN"/>
        </w:rPr>
        <w:t xml:space="preserve">quản lý </w:t>
      </w:r>
      <w:r w:rsidRPr="00BC74E8">
        <w:rPr>
          <w:bCs/>
          <w:sz w:val="28"/>
          <w:szCs w:val="28"/>
          <w:lang w:val="nl-NL"/>
        </w:rPr>
        <w:t xml:space="preserve">lao động </w:t>
      </w:r>
      <w:r w:rsidRPr="00BC74E8">
        <w:rPr>
          <w:bCs/>
          <w:sz w:val="28"/>
          <w:szCs w:val="28"/>
          <w:lang w:val="vi-VN"/>
        </w:rPr>
        <w:t>theo quy định tại Điều 7, Thông tư số 23/2014/TT-BLĐTBXH ngày 29/8/2014</w:t>
      </w:r>
      <w:r w:rsidR="00182DA8" w:rsidRPr="000D7E6B">
        <w:rPr>
          <w:bCs/>
          <w:sz w:val="28"/>
          <w:szCs w:val="28"/>
          <w:vertAlign w:val="superscript"/>
          <w:lang w:val="nl-NL"/>
        </w:rPr>
        <w:t>(</w:t>
      </w:r>
      <w:r w:rsidRPr="00BC74E8">
        <w:rPr>
          <w:rStyle w:val="FootnoteReference"/>
          <w:bCs/>
          <w:sz w:val="28"/>
          <w:szCs w:val="28"/>
          <w:lang w:val="vi-VN"/>
        </w:rPr>
        <w:footnoteReference w:id="4"/>
      </w:r>
      <w:r w:rsidR="00182DA8" w:rsidRPr="000D7E6B">
        <w:rPr>
          <w:bCs/>
          <w:sz w:val="28"/>
          <w:szCs w:val="28"/>
          <w:vertAlign w:val="superscript"/>
          <w:lang w:val="nl-NL"/>
        </w:rPr>
        <w:t>)</w:t>
      </w:r>
      <w:r w:rsidR="00481F07">
        <w:rPr>
          <w:bCs/>
          <w:sz w:val="28"/>
          <w:szCs w:val="28"/>
          <w:vertAlign w:val="superscript"/>
          <w:lang w:val="nl-NL"/>
        </w:rPr>
        <w:t xml:space="preserve"> </w:t>
      </w:r>
      <w:r w:rsidRPr="00BC74E8">
        <w:rPr>
          <w:sz w:val="28"/>
          <w:szCs w:val="28"/>
          <w:lang w:val="vi-VN"/>
        </w:rPr>
        <w:t xml:space="preserve">của Bộ </w:t>
      </w:r>
      <w:r w:rsidRPr="00BC74E8">
        <w:rPr>
          <w:sz w:val="28"/>
          <w:szCs w:val="28"/>
          <w:lang w:val="nl-NL"/>
        </w:rPr>
        <w:t>LĐTB&amp;XH</w:t>
      </w:r>
      <w:r w:rsidRPr="00BC74E8">
        <w:rPr>
          <w:bCs/>
          <w:sz w:val="28"/>
          <w:szCs w:val="28"/>
          <w:lang w:val="nl-NL"/>
        </w:rPr>
        <w:t xml:space="preserve">. </w:t>
      </w:r>
    </w:p>
    <w:p w:rsidR="00402501" w:rsidRPr="00481F07" w:rsidRDefault="00B70AE9" w:rsidP="000D7E6B">
      <w:pPr>
        <w:pStyle w:val="tit"/>
        <w:spacing w:after="120"/>
        <w:ind w:firstLine="567"/>
        <w:jc w:val="both"/>
        <w:rPr>
          <w:rFonts w:ascii="Times New Roman" w:hAnsi="Times New Roman"/>
          <w:b w:val="0"/>
          <w:bCs w:val="0"/>
          <w:sz w:val="28"/>
          <w:szCs w:val="28"/>
          <w:lang w:val="vi-VN"/>
        </w:rPr>
      </w:pPr>
      <w:r w:rsidRPr="00BC74E8">
        <w:rPr>
          <w:rFonts w:ascii="Times New Roman" w:hAnsi="Times New Roman"/>
          <w:b w:val="0"/>
          <w:sz w:val="28"/>
          <w:szCs w:val="28"/>
          <w:lang w:val="nl-NL"/>
        </w:rPr>
        <w:t xml:space="preserve">- Việc </w:t>
      </w:r>
      <w:r w:rsidRPr="00BC74E8">
        <w:rPr>
          <w:rFonts w:ascii="Times New Roman" w:hAnsi="Times New Roman"/>
          <w:b w:val="0"/>
          <w:bCs w:val="0"/>
          <w:sz w:val="28"/>
          <w:szCs w:val="28"/>
          <w:lang w:val="vi-VN"/>
        </w:rPr>
        <w:t xml:space="preserve">khám sức khỏe định kỳ cho người lao động </w:t>
      </w:r>
      <w:r w:rsidRPr="00B701D5">
        <w:rPr>
          <w:rFonts w:ascii="Times New Roman" w:hAnsi="Times New Roman"/>
          <w:b w:val="0"/>
          <w:bCs w:val="0"/>
          <w:sz w:val="28"/>
          <w:szCs w:val="28"/>
          <w:lang w:val="vi-VN"/>
        </w:rPr>
        <w:t>hằng</w:t>
      </w:r>
      <w:r w:rsidRPr="00BC74E8">
        <w:rPr>
          <w:rFonts w:ascii="Times New Roman" w:hAnsi="Times New Roman"/>
          <w:b w:val="0"/>
          <w:bCs w:val="0"/>
          <w:sz w:val="28"/>
          <w:szCs w:val="28"/>
          <w:lang w:val="vi-VN"/>
        </w:rPr>
        <w:t xml:space="preserve"> năm đảm bảo theo quy định tại Điều 152</w:t>
      </w:r>
      <w:r w:rsidRPr="00B701D5">
        <w:rPr>
          <w:rFonts w:ascii="Times New Roman" w:hAnsi="Times New Roman"/>
          <w:b w:val="0"/>
          <w:bCs w:val="0"/>
          <w:sz w:val="28"/>
          <w:szCs w:val="28"/>
          <w:lang w:val="vi-VN"/>
        </w:rPr>
        <w:t>,</w:t>
      </w:r>
      <w:r w:rsidRPr="00BC74E8">
        <w:rPr>
          <w:rFonts w:ascii="Times New Roman" w:hAnsi="Times New Roman"/>
          <w:b w:val="0"/>
          <w:bCs w:val="0"/>
          <w:sz w:val="28"/>
          <w:szCs w:val="28"/>
          <w:lang w:val="vi-VN"/>
        </w:rPr>
        <w:t xml:space="preserve"> Bộ </w:t>
      </w:r>
      <w:r w:rsidRPr="00B701D5">
        <w:rPr>
          <w:rFonts w:ascii="Times New Roman" w:hAnsi="Times New Roman"/>
          <w:b w:val="0"/>
          <w:bCs w:val="0"/>
          <w:sz w:val="28"/>
          <w:szCs w:val="28"/>
          <w:lang w:val="vi-VN"/>
        </w:rPr>
        <w:t>l</w:t>
      </w:r>
      <w:r w:rsidRPr="00BC74E8">
        <w:rPr>
          <w:rFonts w:ascii="Times New Roman" w:hAnsi="Times New Roman"/>
          <w:b w:val="0"/>
          <w:bCs w:val="0"/>
          <w:sz w:val="28"/>
          <w:szCs w:val="28"/>
          <w:lang w:val="vi-VN"/>
        </w:rPr>
        <w:t>uật Lao động 2012</w:t>
      </w:r>
      <w:r w:rsidRPr="00B701D5">
        <w:rPr>
          <w:rFonts w:ascii="Times New Roman" w:hAnsi="Times New Roman"/>
          <w:b w:val="0"/>
          <w:bCs w:val="0"/>
          <w:sz w:val="28"/>
          <w:szCs w:val="28"/>
          <w:lang w:val="vi-VN"/>
        </w:rPr>
        <w:t xml:space="preserve"> (</w:t>
      </w:r>
      <w:r w:rsidRPr="00BC74E8">
        <w:rPr>
          <w:rFonts w:ascii="Times New Roman" w:hAnsi="Times New Roman"/>
          <w:b w:val="0"/>
          <w:sz w:val="28"/>
          <w:szCs w:val="28"/>
          <w:lang w:val="nl-NL"/>
        </w:rPr>
        <w:t>C</w:t>
      </w:r>
      <w:r w:rsidRPr="00BC74E8">
        <w:rPr>
          <w:rFonts w:ascii="Times New Roman" w:hAnsi="Times New Roman"/>
          <w:b w:val="0"/>
          <w:bCs w:val="0"/>
          <w:sz w:val="28"/>
          <w:szCs w:val="28"/>
          <w:lang w:val="vi-VN"/>
        </w:rPr>
        <w:t xml:space="preserve">ông ty ký Hợp đồng </w:t>
      </w:r>
      <w:r w:rsidRPr="00B701D5">
        <w:rPr>
          <w:rFonts w:ascii="Times New Roman" w:hAnsi="Times New Roman"/>
          <w:b w:val="0"/>
          <w:bCs w:val="0"/>
          <w:sz w:val="28"/>
          <w:szCs w:val="28"/>
          <w:lang w:val="vi-VN"/>
        </w:rPr>
        <w:t xml:space="preserve">thuê </w:t>
      </w:r>
      <w:r w:rsidRPr="00BC74E8">
        <w:rPr>
          <w:rFonts w:ascii="Times New Roman" w:hAnsi="Times New Roman"/>
          <w:b w:val="0"/>
          <w:bCs w:val="0"/>
          <w:sz w:val="28"/>
          <w:szCs w:val="28"/>
          <w:lang w:val="vi-VN"/>
        </w:rPr>
        <w:t>Công ty CP Bệnh viện TTH Vinh</w:t>
      </w:r>
      <w:r w:rsidRPr="00B701D5">
        <w:rPr>
          <w:rFonts w:ascii="Times New Roman" w:hAnsi="Times New Roman"/>
          <w:b w:val="0"/>
          <w:bCs w:val="0"/>
          <w:sz w:val="28"/>
          <w:szCs w:val="28"/>
          <w:lang w:val="vi-VN"/>
        </w:rPr>
        <w:t xml:space="preserve"> cung cấp dịch vụ khám sức khỏe)</w:t>
      </w:r>
      <w:r w:rsidR="00182DA8" w:rsidRPr="000D7E6B">
        <w:rPr>
          <w:rFonts w:ascii="Times New Roman" w:hAnsi="Times New Roman"/>
          <w:b w:val="0"/>
          <w:bCs w:val="0"/>
          <w:sz w:val="28"/>
          <w:szCs w:val="28"/>
          <w:lang w:val="vi-VN"/>
        </w:rPr>
        <w:t>.</w:t>
      </w:r>
    </w:p>
    <w:p w:rsidR="00402501" w:rsidRDefault="00F8144E" w:rsidP="000D7E6B">
      <w:pPr>
        <w:tabs>
          <w:tab w:val="left" w:pos="6273"/>
        </w:tabs>
        <w:spacing w:after="120"/>
        <w:ind w:firstLine="567"/>
        <w:jc w:val="both"/>
        <w:rPr>
          <w:i/>
          <w:sz w:val="28"/>
          <w:szCs w:val="28"/>
          <w:lang w:val="nl-NL"/>
        </w:rPr>
      </w:pPr>
      <w:r w:rsidRPr="00BC74E8">
        <w:rPr>
          <w:i/>
          <w:sz w:val="28"/>
          <w:szCs w:val="28"/>
          <w:lang w:val="nl-NL"/>
        </w:rPr>
        <w:t>3.2.</w:t>
      </w:r>
      <w:r w:rsidR="008C4DCF">
        <w:rPr>
          <w:i/>
          <w:sz w:val="28"/>
          <w:szCs w:val="28"/>
          <w:lang w:val="nl-NL"/>
        </w:rPr>
        <w:t>C</w:t>
      </w:r>
      <w:r w:rsidR="00B70AE9" w:rsidRPr="00BC74E8">
        <w:rPr>
          <w:i/>
          <w:sz w:val="28"/>
          <w:szCs w:val="28"/>
          <w:lang w:val="nl-NL"/>
        </w:rPr>
        <w:t xml:space="preserve">hấp hành các </w:t>
      </w:r>
      <w:r w:rsidRPr="00BC74E8">
        <w:rPr>
          <w:i/>
          <w:sz w:val="28"/>
          <w:szCs w:val="28"/>
          <w:lang w:val="nl-NL"/>
        </w:rPr>
        <w:t>chính sách về bảo hiểm bắt buộc</w:t>
      </w:r>
    </w:p>
    <w:p w:rsidR="00402501" w:rsidRDefault="00B70AE9" w:rsidP="000D7E6B">
      <w:pPr>
        <w:spacing w:after="120"/>
        <w:ind w:firstLine="567"/>
        <w:jc w:val="both"/>
        <w:rPr>
          <w:sz w:val="28"/>
          <w:szCs w:val="28"/>
          <w:lang w:val="vi-VN"/>
        </w:rPr>
      </w:pPr>
      <w:r w:rsidRPr="00BC74E8">
        <w:rPr>
          <w:sz w:val="28"/>
          <w:szCs w:val="28"/>
          <w:lang w:val="vi-VN"/>
        </w:rPr>
        <w:t xml:space="preserve">Trong các năm 2019, 2020 theo hợp đồng lao động, người lao động </w:t>
      </w:r>
      <w:r w:rsidRPr="00B701D5">
        <w:rPr>
          <w:sz w:val="28"/>
          <w:szCs w:val="28"/>
          <w:lang w:val="nl-NL"/>
        </w:rPr>
        <w:t xml:space="preserve">trong </w:t>
      </w:r>
      <w:r w:rsidRPr="00BC74E8">
        <w:rPr>
          <w:sz w:val="28"/>
          <w:szCs w:val="28"/>
          <w:lang w:val="vi-VN"/>
        </w:rPr>
        <w:t xml:space="preserve">Công ty đã được tham gia </w:t>
      </w:r>
      <w:r w:rsidR="00402501" w:rsidRPr="000D7E6B">
        <w:rPr>
          <w:sz w:val="28"/>
          <w:szCs w:val="28"/>
          <w:lang w:val="nl-NL"/>
        </w:rPr>
        <w:t>c</w:t>
      </w:r>
      <w:r w:rsidR="008C4DCF">
        <w:rPr>
          <w:sz w:val="28"/>
          <w:szCs w:val="28"/>
          <w:lang w:val="nl-NL"/>
        </w:rPr>
        <w:t xml:space="preserve">ác loại </w:t>
      </w:r>
      <w:r w:rsidRPr="00BC74E8">
        <w:rPr>
          <w:sz w:val="28"/>
          <w:szCs w:val="28"/>
          <w:lang w:val="vi-VN"/>
        </w:rPr>
        <w:t>bảo hiểm bắt buộc</w:t>
      </w:r>
      <w:r w:rsidR="00402501" w:rsidRPr="000D7E6B">
        <w:rPr>
          <w:sz w:val="28"/>
          <w:szCs w:val="28"/>
          <w:lang w:val="nl-NL"/>
        </w:rPr>
        <w:t>;</w:t>
      </w:r>
      <w:r w:rsidR="00CF1751">
        <w:rPr>
          <w:sz w:val="28"/>
          <w:szCs w:val="28"/>
          <w:lang w:val="nl-NL"/>
        </w:rPr>
        <w:t xml:space="preserve"> </w:t>
      </w:r>
      <w:r w:rsidRPr="00BC74E8">
        <w:rPr>
          <w:sz w:val="28"/>
          <w:szCs w:val="28"/>
          <w:lang w:val="vi-VN"/>
        </w:rPr>
        <w:t xml:space="preserve">thực hiện việc trích </w:t>
      </w:r>
      <w:r w:rsidR="00402501" w:rsidRPr="000D7E6B">
        <w:rPr>
          <w:sz w:val="28"/>
          <w:szCs w:val="28"/>
          <w:lang w:val="nl-NL"/>
        </w:rPr>
        <w:t>n</w:t>
      </w:r>
      <w:r w:rsidR="008C4DCF">
        <w:rPr>
          <w:sz w:val="28"/>
          <w:szCs w:val="28"/>
          <w:lang w:val="nl-NL"/>
        </w:rPr>
        <w:t>ộp</w:t>
      </w:r>
      <w:r w:rsidR="00481F07">
        <w:rPr>
          <w:sz w:val="28"/>
          <w:szCs w:val="28"/>
          <w:lang w:val="nl-NL"/>
        </w:rPr>
        <w:t xml:space="preserve"> </w:t>
      </w:r>
      <w:r w:rsidRPr="00BC74E8">
        <w:rPr>
          <w:sz w:val="28"/>
          <w:szCs w:val="28"/>
          <w:lang w:val="vi-VN"/>
        </w:rPr>
        <w:t xml:space="preserve">tiền bảo hiểm cho các lao động </w:t>
      </w:r>
      <w:r w:rsidRPr="00B701D5">
        <w:rPr>
          <w:sz w:val="28"/>
          <w:szCs w:val="28"/>
          <w:lang w:val="nl-NL"/>
        </w:rPr>
        <w:t xml:space="preserve">đúng </w:t>
      </w:r>
      <w:r w:rsidRPr="00BC74E8">
        <w:rPr>
          <w:sz w:val="28"/>
          <w:szCs w:val="28"/>
          <w:lang w:val="vi-VN"/>
        </w:rPr>
        <w:t xml:space="preserve">theo tỷ lệ </w:t>
      </w:r>
      <w:r w:rsidRPr="00B701D5">
        <w:rPr>
          <w:sz w:val="28"/>
          <w:szCs w:val="28"/>
          <w:lang w:val="nl-NL"/>
        </w:rPr>
        <w:t>32% quy định</w:t>
      </w:r>
      <w:r w:rsidRPr="00BC74E8">
        <w:rPr>
          <w:sz w:val="28"/>
          <w:szCs w:val="28"/>
          <w:lang w:val="vi-VN"/>
        </w:rPr>
        <w:t xml:space="preserve"> (doanh nghiệp đóng 21,5%; người lao động đóng 10,5%). Mức lương đóng bảo hiểm được thực hiện</w:t>
      </w:r>
      <w:r w:rsidRPr="00B701D5">
        <w:rPr>
          <w:sz w:val="28"/>
          <w:szCs w:val="28"/>
          <w:lang w:val="vi-VN"/>
        </w:rPr>
        <w:t xml:space="preserve"> theo bảng lương của Công ty</w:t>
      </w:r>
      <w:r w:rsidR="00CB6DC6">
        <w:rPr>
          <w:sz w:val="28"/>
          <w:szCs w:val="28"/>
        </w:rPr>
        <w:t xml:space="preserve"> </w:t>
      </w:r>
      <w:r w:rsidR="00402501" w:rsidRPr="000D7E6B">
        <w:rPr>
          <w:sz w:val="28"/>
          <w:szCs w:val="28"/>
          <w:lang w:val="vi-VN"/>
        </w:rPr>
        <w:t>(cao</w:t>
      </w:r>
      <w:r w:rsidRPr="00BC74E8">
        <w:rPr>
          <w:sz w:val="28"/>
          <w:szCs w:val="28"/>
          <w:lang w:val="vi-VN"/>
        </w:rPr>
        <w:t xml:space="preserve"> hơn mức tối thiếu</w:t>
      </w:r>
      <w:r w:rsidRPr="00B701D5">
        <w:rPr>
          <w:sz w:val="28"/>
          <w:szCs w:val="28"/>
          <w:lang w:val="vi-VN"/>
        </w:rPr>
        <w:t xml:space="preserve"> và thấp hơn mức tối đa</w:t>
      </w:r>
      <w:r w:rsidRPr="00BC74E8">
        <w:rPr>
          <w:sz w:val="28"/>
          <w:szCs w:val="28"/>
          <w:lang w:val="vi-VN"/>
        </w:rPr>
        <w:t xml:space="preserve"> được quy định tại khoản 2 và khoản 3, Điều 6, Quyết định 595/QĐ-BHXH ngày 14/4/2017 của Bảo hiểm </w:t>
      </w:r>
      <w:r w:rsidR="00182DA8" w:rsidRPr="000D7E6B">
        <w:rPr>
          <w:sz w:val="28"/>
          <w:szCs w:val="28"/>
          <w:lang w:val="vi-VN"/>
        </w:rPr>
        <w:t>X</w:t>
      </w:r>
      <w:r w:rsidRPr="00BC74E8">
        <w:rPr>
          <w:sz w:val="28"/>
          <w:szCs w:val="28"/>
          <w:lang w:val="vi-VN"/>
        </w:rPr>
        <w:t>ã hội Việt Nam</w:t>
      </w:r>
      <w:r w:rsidR="00402501" w:rsidRPr="000D7E6B">
        <w:rPr>
          <w:sz w:val="28"/>
          <w:szCs w:val="28"/>
          <w:lang w:val="vi-VN"/>
        </w:rPr>
        <w:t>)</w:t>
      </w:r>
      <w:r w:rsidRPr="00B701D5">
        <w:rPr>
          <w:sz w:val="28"/>
          <w:szCs w:val="28"/>
          <w:lang w:val="vi-VN"/>
        </w:rPr>
        <w:t>.</w:t>
      </w:r>
    </w:p>
    <w:p w:rsidR="00402501" w:rsidRDefault="00B70AE9" w:rsidP="000D7E6B">
      <w:pPr>
        <w:spacing w:after="120"/>
        <w:ind w:firstLine="567"/>
        <w:jc w:val="both"/>
        <w:rPr>
          <w:bCs/>
          <w:sz w:val="28"/>
          <w:szCs w:val="28"/>
          <w:lang w:val="nl-NL" w:eastAsia="vi-VN"/>
        </w:rPr>
      </w:pPr>
      <w:r w:rsidRPr="00BC74E8">
        <w:rPr>
          <w:bCs/>
          <w:sz w:val="28"/>
          <w:szCs w:val="28"/>
          <w:lang w:val="vi-VN" w:eastAsia="vi-VN"/>
        </w:rPr>
        <w:t>Việc thanh toán chi trả chế độ bảo hiểm (tiền ốm đau, thai sản) cho người lao động được thực hiện đầy đủ, theo quy định.</w:t>
      </w:r>
    </w:p>
    <w:p w:rsidR="00402501" w:rsidRDefault="003275B3" w:rsidP="000D7E6B">
      <w:pPr>
        <w:spacing w:after="120"/>
        <w:ind w:firstLine="567"/>
        <w:jc w:val="both"/>
        <w:rPr>
          <w:i/>
          <w:sz w:val="28"/>
          <w:szCs w:val="28"/>
          <w:lang w:val="nl-NL"/>
        </w:rPr>
      </w:pPr>
      <w:r>
        <w:rPr>
          <w:i/>
          <w:sz w:val="28"/>
          <w:szCs w:val="28"/>
          <w:lang w:val="nl-NL"/>
        </w:rPr>
        <w:t>3.3.</w:t>
      </w:r>
      <w:r w:rsidRPr="003275B3">
        <w:rPr>
          <w:i/>
          <w:sz w:val="28"/>
          <w:szCs w:val="28"/>
          <w:lang w:val="nl-NL"/>
        </w:rPr>
        <w:t xml:space="preserve"> Thực hiện nghĩa vụ công đoàn</w:t>
      </w:r>
    </w:p>
    <w:p w:rsidR="00402501" w:rsidRDefault="00B70AE9" w:rsidP="000D7E6B">
      <w:pPr>
        <w:spacing w:after="120"/>
        <w:ind w:firstLine="567"/>
        <w:jc w:val="both"/>
        <w:rPr>
          <w:sz w:val="28"/>
          <w:szCs w:val="28"/>
          <w:lang w:val="nl-NL"/>
        </w:rPr>
      </w:pPr>
      <w:r w:rsidRPr="00BC74E8">
        <w:rPr>
          <w:sz w:val="28"/>
          <w:szCs w:val="28"/>
          <w:lang w:val="nl-NL"/>
        </w:rPr>
        <w:t xml:space="preserve">Công ty đã thực hiện việc trích lập và đóng nộp kinh phí công đoàn lên Công đoàn ngành Công Thương Việt Nam, cụ thể: Số chưa nộp năm </w:t>
      </w:r>
      <w:r w:rsidR="008C4DCF">
        <w:rPr>
          <w:sz w:val="28"/>
          <w:szCs w:val="28"/>
          <w:lang w:val="nl-NL"/>
        </w:rPr>
        <w:t>2018</w:t>
      </w:r>
      <w:r w:rsidR="00481F07">
        <w:rPr>
          <w:sz w:val="28"/>
          <w:szCs w:val="28"/>
          <w:lang w:val="nl-NL"/>
        </w:rPr>
        <w:t xml:space="preserve"> </w:t>
      </w:r>
      <w:r w:rsidRPr="00BC74E8">
        <w:rPr>
          <w:sz w:val="28"/>
          <w:szCs w:val="28"/>
          <w:lang w:val="nl-NL"/>
        </w:rPr>
        <w:t xml:space="preserve">chuyển sang: 81.974.000 đồng, số phải nộp 2 năm 2019, 2020: 513.858.000 đồng, số đã nộp: 618.568.000 đồng, số nộp quá chuyển </w:t>
      </w:r>
      <w:r w:rsidR="00182DA8">
        <w:rPr>
          <w:sz w:val="28"/>
          <w:szCs w:val="28"/>
          <w:lang w:val="nl-NL"/>
        </w:rPr>
        <w:t xml:space="preserve">sang </w:t>
      </w:r>
      <w:r w:rsidRPr="00BC74E8">
        <w:rPr>
          <w:sz w:val="28"/>
          <w:szCs w:val="28"/>
          <w:lang w:val="nl-NL"/>
        </w:rPr>
        <w:t>năm 2021: 20.724.000</w:t>
      </w:r>
      <w:r w:rsidR="00481F07">
        <w:rPr>
          <w:sz w:val="28"/>
          <w:szCs w:val="28"/>
          <w:lang w:val="nl-NL"/>
        </w:rPr>
        <w:t xml:space="preserve"> </w:t>
      </w:r>
      <w:r w:rsidRPr="00BC74E8">
        <w:rPr>
          <w:sz w:val="28"/>
          <w:szCs w:val="28"/>
          <w:lang w:val="nl-NL"/>
        </w:rPr>
        <w:t xml:space="preserve">đồng. Qua kiểm tra Công ty đã thực hiện theo dõi số phải nộp, </w:t>
      </w:r>
      <w:r w:rsidR="003275B3">
        <w:rPr>
          <w:sz w:val="28"/>
          <w:szCs w:val="28"/>
          <w:lang w:val="nl-NL"/>
        </w:rPr>
        <w:t xml:space="preserve">thực hiện </w:t>
      </w:r>
      <w:r w:rsidRPr="00BC74E8">
        <w:rPr>
          <w:sz w:val="28"/>
          <w:szCs w:val="28"/>
          <w:lang w:val="nl-NL"/>
        </w:rPr>
        <w:t xml:space="preserve">nộp đúng </w:t>
      </w:r>
      <w:r w:rsidR="003275B3">
        <w:rPr>
          <w:sz w:val="28"/>
          <w:szCs w:val="28"/>
          <w:lang w:val="nl-NL"/>
        </w:rPr>
        <w:t>số tiền quy định</w:t>
      </w:r>
      <w:r w:rsidRPr="00BC74E8">
        <w:rPr>
          <w:sz w:val="28"/>
          <w:szCs w:val="28"/>
          <w:lang w:val="nl-NL"/>
        </w:rPr>
        <w:t xml:space="preserve"> tại Điều 5, Nghị định</w:t>
      </w:r>
      <w:r w:rsidR="00182DA8">
        <w:rPr>
          <w:sz w:val="28"/>
          <w:szCs w:val="28"/>
          <w:lang w:val="nl-NL"/>
        </w:rPr>
        <w:t xml:space="preserve"> số</w:t>
      </w:r>
      <w:r w:rsidRPr="00BC74E8">
        <w:rPr>
          <w:sz w:val="28"/>
          <w:szCs w:val="28"/>
          <w:lang w:val="nl-NL"/>
        </w:rPr>
        <w:t xml:space="preserve"> 191/2013/NĐ-CP ngày 21/11/2013 của Chính phủ hướng dẫn về tài chính công đoàn. Tuy vậy việc Công ty nộp </w:t>
      </w:r>
      <w:r w:rsidR="00481F07">
        <w:rPr>
          <w:sz w:val="28"/>
          <w:szCs w:val="28"/>
          <w:lang w:val="nl-NL"/>
        </w:rPr>
        <w:t>kinh phí công đoàn tại</w:t>
      </w:r>
      <w:r w:rsidR="003275B3">
        <w:rPr>
          <w:sz w:val="28"/>
          <w:szCs w:val="28"/>
          <w:lang w:val="nl-NL"/>
        </w:rPr>
        <w:t xml:space="preserve"> </w:t>
      </w:r>
      <w:r w:rsidRPr="00BC74E8">
        <w:rPr>
          <w:sz w:val="28"/>
          <w:szCs w:val="28"/>
          <w:lang w:val="nl-NL"/>
        </w:rPr>
        <w:t xml:space="preserve">Công đoàn ngành Công </w:t>
      </w:r>
      <w:r w:rsidR="00182DA8">
        <w:rPr>
          <w:sz w:val="28"/>
          <w:szCs w:val="28"/>
          <w:lang w:val="nl-NL"/>
        </w:rPr>
        <w:t>T</w:t>
      </w:r>
      <w:r w:rsidRPr="00BC74E8">
        <w:rPr>
          <w:sz w:val="28"/>
          <w:szCs w:val="28"/>
          <w:lang w:val="nl-NL"/>
        </w:rPr>
        <w:t xml:space="preserve">hương là chưa đúng </w:t>
      </w:r>
      <w:r w:rsidR="003275B3">
        <w:rPr>
          <w:sz w:val="28"/>
          <w:szCs w:val="28"/>
          <w:lang w:val="nl-NL"/>
        </w:rPr>
        <w:t>nơi thu</w:t>
      </w:r>
      <w:r w:rsidRPr="00BC74E8">
        <w:rPr>
          <w:sz w:val="28"/>
          <w:szCs w:val="28"/>
          <w:lang w:val="nl-NL"/>
        </w:rPr>
        <w:t xml:space="preserve"> theo Điều 19, </w:t>
      </w:r>
      <w:hyperlink r:id="rId8" w:tgtFrame="_blank" w:history="1">
        <w:r w:rsidRPr="00BC74E8">
          <w:rPr>
            <w:sz w:val="28"/>
            <w:szCs w:val="28"/>
            <w:lang w:val="nl-NL"/>
          </w:rPr>
          <w:t>Quyết định số 1908/QĐ-TLĐ ngày 19/12/2016 của Tổng liên đoàn Lao động Việt Nam về</w:t>
        </w:r>
      </w:hyperlink>
      <w:r w:rsidRPr="00BC74E8">
        <w:rPr>
          <w:sz w:val="28"/>
          <w:szCs w:val="28"/>
          <w:lang w:val="nl-NL"/>
        </w:rPr>
        <w:t xml:space="preserve"> việc ban hành quy định về quản lý tài chính, tài sản công đoàn, thu, phân phối nguồn thu và thưởng, phạt, thu, nộp tài chính công đoàn.</w:t>
      </w:r>
    </w:p>
    <w:p w:rsidR="00402501" w:rsidRDefault="00FE5DDF" w:rsidP="000D7E6B">
      <w:pPr>
        <w:spacing w:after="120"/>
        <w:ind w:firstLine="567"/>
        <w:jc w:val="both"/>
        <w:rPr>
          <w:b/>
          <w:sz w:val="28"/>
          <w:szCs w:val="28"/>
          <w:lang w:val="nl-NL"/>
        </w:rPr>
      </w:pPr>
      <w:r w:rsidRPr="00577EF1">
        <w:rPr>
          <w:b/>
          <w:sz w:val="28"/>
          <w:szCs w:val="28"/>
          <w:lang w:val="nl-NL"/>
        </w:rPr>
        <w:t>4. Chấp hành quy định pháp luật về đất đai</w:t>
      </w:r>
    </w:p>
    <w:p w:rsidR="00402501" w:rsidRDefault="00CA5889" w:rsidP="000D7E6B">
      <w:pPr>
        <w:spacing w:after="120"/>
        <w:ind w:firstLine="567"/>
        <w:jc w:val="both"/>
        <w:rPr>
          <w:sz w:val="28"/>
          <w:szCs w:val="28"/>
          <w:lang w:val="nl-NL"/>
        </w:rPr>
      </w:pPr>
      <w:r>
        <w:rPr>
          <w:sz w:val="28"/>
          <w:szCs w:val="28"/>
          <w:lang w:val="nl-NL"/>
        </w:rPr>
        <w:lastRenderedPageBreak/>
        <w:t xml:space="preserve">Thời điểm thanh tra, </w:t>
      </w:r>
      <w:r w:rsidR="00A42B0A" w:rsidRPr="00BC74E8">
        <w:rPr>
          <w:sz w:val="28"/>
          <w:szCs w:val="28"/>
          <w:lang w:val="nl-NL"/>
        </w:rPr>
        <w:t xml:space="preserve">Công ty đang sử dụng thửa đất số 01, 02, tờ bản đồ số “00” với diện tích </w:t>
      </w:r>
      <w:r w:rsidR="00A42B0A" w:rsidRPr="00BC74E8">
        <w:rPr>
          <w:sz w:val="28"/>
          <w:szCs w:val="28"/>
          <w:lang w:val="pt-BR"/>
        </w:rPr>
        <w:t>192.110,9 m</w:t>
      </w:r>
      <w:r w:rsidR="00A42B0A" w:rsidRPr="00BC74E8">
        <w:rPr>
          <w:sz w:val="28"/>
          <w:szCs w:val="28"/>
          <w:vertAlign w:val="superscript"/>
          <w:lang w:val="pt-BR"/>
        </w:rPr>
        <w:t>2</w:t>
      </w:r>
      <w:r w:rsidR="00A42B0A" w:rsidRPr="00BC74E8">
        <w:rPr>
          <w:sz w:val="28"/>
          <w:szCs w:val="28"/>
          <w:lang w:val="nl-NL"/>
        </w:rPr>
        <w:t xml:space="preserve"> tại xã Tân Lâm Hương, huyện Thạch Hà, tỉnh Hà Tĩnh. Thửa đất được thuê với mục đích: Đất cơ sở sản xuất, kinh doanh (Xây dựng </w:t>
      </w:r>
      <w:r w:rsidR="00004731">
        <w:rPr>
          <w:sz w:val="28"/>
          <w:szCs w:val="28"/>
          <w:lang w:val="nl-NL"/>
        </w:rPr>
        <w:t>N</w:t>
      </w:r>
      <w:r w:rsidR="00A42B0A" w:rsidRPr="00BC74E8">
        <w:rPr>
          <w:sz w:val="28"/>
          <w:szCs w:val="28"/>
          <w:lang w:val="nl-NL"/>
        </w:rPr>
        <w:t xml:space="preserve">hà máy </w:t>
      </w:r>
      <w:r w:rsidR="00004731">
        <w:rPr>
          <w:sz w:val="28"/>
          <w:szCs w:val="28"/>
          <w:lang w:val="nl-NL"/>
        </w:rPr>
        <w:t>B</w:t>
      </w:r>
      <w:r w:rsidR="00004731" w:rsidRPr="00BC74E8">
        <w:rPr>
          <w:sz w:val="28"/>
          <w:szCs w:val="28"/>
          <w:lang w:val="nl-NL"/>
        </w:rPr>
        <w:t xml:space="preserve">ia </w:t>
      </w:r>
      <w:r w:rsidR="00A42B0A" w:rsidRPr="00BC74E8">
        <w:rPr>
          <w:sz w:val="28"/>
          <w:szCs w:val="28"/>
          <w:lang w:val="nl-NL"/>
        </w:rPr>
        <w:t xml:space="preserve">Sài Gòn </w:t>
      </w:r>
      <w:r>
        <w:rPr>
          <w:sz w:val="28"/>
          <w:szCs w:val="28"/>
          <w:lang w:val="nl-NL"/>
        </w:rPr>
        <w:t>-</w:t>
      </w:r>
      <w:r w:rsidR="00A42B0A" w:rsidRPr="00BC74E8">
        <w:rPr>
          <w:sz w:val="28"/>
          <w:szCs w:val="28"/>
          <w:lang w:val="nl-NL"/>
        </w:rPr>
        <w:t xml:space="preserve"> Hà Tĩnh), thời hạn sử dụng đất</w:t>
      </w:r>
      <w:r w:rsidR="003275B3">
        <w:rPr>
          <w:sz w:val="28"/>
          <w:szCs w:val="28"/>
          <w:lang w:val="nl-NL"/>
        </w:rPr>
        <w:t xml:space="preserve"> đ</w:t>
      </w:r>
      <w:r w:rsidR="00A42B0A" w:rsidRPr="00BC74E8">
        <w:rPr>
          <w:sz w:val="28"/>
          <w:szCs w:val="28"/>
          <w:lang w:val="nl-NL"/>
        </w:rPr>
        <w:t xml:space="preserve">ến </w:t>
      </w:r>
      <w:r w:rsidR="003275B3">
        <w:rPr>
          <w:sz w:val="28"/>
          <w:szCs w:val="28"/>
          <w:lang w:val="nl-NL"/>
        </w:rPr>
        <w:t xml:space="preserve">ngày </w:t>
      </w:r>
      <w:r w:rsidR="00A42B0A" w:rsidRPr="00BC74E8">
        <w:rPr>
          <w:sz w:val="28"/>
          <w:szCs w:val="28"/>
          <w:lang w:val="nl-NL"/>
        </w:rPr>
        <w:t>07/3/2058</w:t>
      </w:r>
      <w:r w:rsidR="003275B3">
        <w:rPr>
          <w:sz w:val="28"/>
          <w:szCs w:val="28"/>
          <w:lang w:val="nl-NL"/>
        </w:rPr>
        <w:t>, thửa đất</w:t>
      </w:r>
      <w:r w:rsidR="00A42B0A" w:rsidRPr="00BC74E8">
        <w:rPr>
          <w:sz w:val="28"/>
          <w:szCs w:val="28"/>
          <w:lang w:val="nl-NL"/>
        </w:rPr>
        <w:t xml:space="preserve"> đã được UBND tỉnh cấp Giấy CNQSD đất số BG481956 ngày 15/9/2011. </w:t>
      </w:r>
    </w:p>
    <w:p w:rsidR="00402501" w:rsidRDefault="00762FDD" w:rsidP="000D7E6B">
      <w:pPr>
        <w:spacing w:after="120"/>
        <w:ind w:firstLine="567"/>
        <w:jc w:val="both"/>
        <w:rPr>
          <w:b/>
          <w:i/>
          <w:sz w:val="28"/>
          <w:szCs w:val="28"/>
          <w:lang w:val="nl-NL"/>
        </w:rPr>
      </w:pPr>
      <w:r w:rsidRPr="00577EF1">
        <w:rPr>
          <w:b/>
          <w:i/>
          <w:sz w:val="28"/>
          <w:szCs w:val="28"/>
          <w:lang w:val="vi-VN"/>
        </w:rPr>
        <w:t>- Trình tự, thủ tục thuê đất, việc sử dụng đất</w:t>
      </w:r>
    </w:p>
    <w:p w:rsidR="00402501" w:rsidRDefault="00577EF1" w:rsidP="000D7E6B">
      <w:pPr>
        <w:spacing w:after="120"/>
        <w:ind w:firstLine="567"/>
        <w:jc w:val="both"/>
        <w:rPr>
          <w:sz w:val="28"/>
          <w:szCs w:val="28"/>
          <w:lang w:val="pt-BR"/>
        </w:rPr>
      </w:pPr>
      <w:r w:rsidRPr="00BC74E8">
        <w:rPr>
          <w:sz w:val="28"/>
          <w:szCs w:val="28"/>
          <w:lang w:val="pt-BR"/>
        </w:rPr>
        <w:t>+</w:t>
      </w:r>
      <w:r w:rsidR="00507893" w:rsidRPr="00BC74E8">
        <w:rPr>
          <w:sz w:val="28"/>
          <w:szCs w:val="28"/>
          <w:lang w:val="pt-BR"/>
        </w:rPr>
        <w:t xml:space="preserve"> Về hồ sơ pháp lý: Khu đất </w:t>
      </w:r>
      <w:r w:rsidR="00507893" w:rsidRPr="00BC74E8">
        <w:rPr>
          <w:sz w:val="28"/>
          <w:szCs w:val="28"/>
          <w:lang w:val="nl-NL"/>
        </w:rPr>
        <w:t xml:space="preserve">Công ty TNHH MTV Bia Sài Gòn </w:t>
      </w:r>
      <w:r w:rsidR="00CA5889">
        <w:rPr>
          <w:sz w:val="28"/>
          <w:szCs w:val="28"/>
          <w:lang w:val="nl-NL"/>
        </w:rPr>
        <w:t>-</w:t>
      </w:r>
      <w:r w:rsidR="00507893" w:rsidRPr="00BC74E8">
        <w:rPr>
          <w:sz w:val="28"/>
          <w:szCs w:val="28"/>
          <w:lang w:val="nl-NL"/>
        </w:rPr>
        <w:t xml:space="preserve"> Hà Tĩnh đang sử dụng, </w:t>
      </w:r>
      <w:r w:rsidR="003275B3">
        <w:rPr>
          <w:sz w:val="28"/>
          <w:szCs w:val="28"/>
          <w:lang w:val="nl-NL"/>
        </w:rPr>
        <w:t xml:space="preserve">sản xuất, </w:t>
      </w:r>
      <w:r w:rsidR="00507893" w:rsidRPr="00BC74E8">
        <w:rPr>
          <w:sz w:val="28"/>
          <w:szCs w:val="28"/>
          <w:lang w:val="nl-NL"/>
        </w:rPr>
        <w:t>kinh doanh có các hồ sơ về đất đai được cập nhật và lưu giữ đầy đủ;</w:t>
      </w:r>
    </w:p>
    <w:p w:rsidR="00402501" w:rsidRDefault="00577EF1" w:rsidP="000D7E6B">
      <w:pPr>
        <w:spacing w:after="120"/>
        <w:ind w:firstLine="567"/>
        <w:jc w:val="both"/>
        <w:rPr>
          <w:sz w:val="28"/>
          <w:szCs w:val="28"/>
          <w:lang w:val="pt-BR"/>
        </w:rPr>
      </w:pPr>
      <w:r w:rsidRPr="00BC74E8">
        <w:rPr>
          <w:sz w:val="28"/>
          <w:szCs w:val="28"/>
          <w:lang w:val="pt-BR"/>
        </w:rPr>
        <w:t>+</w:t>
      </w:r>
      <w:r w:rsidR="00507893" w:rsidRPr="00BC74E8">
        <w:rPr>
          <w:sz w:val="28"/>
          <w:szCs w:val="28"/>
          <w:lang w:val="pt-BR"/>
        </w:rPr>
        <w:t xml:space="preserve"> Mục đích sử dụng đất: Khu đất được nhà nước cho thuê đã được đưa vào sử dụng đúng mục đích </w:t>
      </w:r>
      <w:r w:rsidR="00CA5889">
        <w:rPr>
          <w:sz w:val="28"/>
          <w:szCs w:val="28"/>
          <w:lang w:val="pt-BR"/>
        </w:rPr>
        <w:t>(</w:t>
      </w:r>
      <w:r w:rsidR="00507893" w:rsidRPr="00BC74E8">
        <w:rPr>
          <w:sz w:val="28"/>
          <w:szCs w:val="28"/>
          <w:lang w:val="pt-BR"/>
        </w:rPr>
        <w:t xml:space="preserve">xây dựng Nhà máy </w:t>
      </w:r>
      <w:r w:rsidR="00004731">
        <w:rPr>
          <w:sz w:val="28"/>
          <w:szCs w:val="28"/>
          <w:lang w:val="pt-BR"/>
        </w:rPr>
        <w:t>B</w:t>
      </w:r>
      <w:r w:rsidR="00507893" w:rsidRPr="00BC74E8">
        <w:rPr>
          <w:sz w:val="28"/>
          <w:szCs w:val="28"/>
          <w:lang w:val="pt-BR"/>
        </w:rPr>
        <w:t xml:space="preserve">ia Sài Gòn </w:t>
      </w:r>
      <w:r w:rsidR="00CA5889">
        <w:rPr>
          <w:sz w:val="28"/>
          <w:szCs w:val="28"/>
          <w:lang w:val="pt-BR"/>
        </w:rPr>
        <w:t>-</w:t>
      </w:r>
      <w:r w:rsidR="00507893" w:rsidRPr="00BC74E8">
        <w:rPr>
          <w:sz w:val="28"/>
          <w:szCs w:val="28"/>
          <w:lang w:val="pt-BR"/>
        </w:rPr>
        <w:t xml:space="preserve"> Hà Tĩnh</w:t>
      </w:r>
      <w:r w:rsidR="00CA5889">
        <w:rPr>
          <w:sz w:val="28"/>
          <w:szCs w:val="28"/>
          <w:lang w:val="pt-BR"/>
        </w:rPr>
        <w:t>)</w:t>
      </w:r>
      <w:r w:rsidR="00DE13AD">
        <w:rPr>
          <w:sz w:val="28"/>
          <w:szCs w:val="28"/>
          <w:lang w:val="pt-BR"/>
        </w:rPr>
        <w:t xml:space="preserve"> </w:t>
      </w:r>
      <w:r w:rsidR="00CA5889">
        <w:rPr>
          <w:sz w:val="28"/>
          <w:szCs w:val="28"/>
          <w:lang w:val="pt-BR"/>
        </w:rPr>
        <w:t>đúng theo</w:t>
      </w:r>
      <w:r w:rsidR="00481F07">
        <w:rPr>
          <w:sz w:val="28"/>
          <w:szCs w:val="28"/>
          <w:lang w:val="pt-BR"/>
        </w:rPr>
        <w:t xml:space="preserve"> </w:t>
      </w:r>
      <w:r w:rsidR="00507893" w:rsidRPr="00BC74E8">
        <w:rPr>
          <w:sz w:val="28"/>
          <w:szCs w:val="28"/>
          <w:lang w:val="pt-BR"/>
        </w:rPr>
        <w:t>Quyết định cho thuê đất được cấp;</w:t>
      </w:r>
    </w:p>
    <w:p w:rsidR="00402501" w:rsidRDefault="00577EF1" w:rsidP="000D7E6B">
      <w:pPr>
        <w:spacing w:after="120"/>
        <w:ind w:firstLine="567"/>
        <w:jc w:val="both"/>
        <w:rPr>
          <w:i/>
          <w:sz w:val="28"/>
          <w:szCs w:val="28"/>
          <w:lang w:val="pt-BR"/>
        </w:rPr>
      </w:pPr>
      <w:r w:rsidRPr="00BC74E8">
        <w:rPr>
          <w:sz w:val="28"/>
          <w:szCs w:val="28"/>
          <w:lang w:val="pt-BR"/>
        </w:rPr>
        <w:t>+ Tình trạng sử dụng đất:</w:t>
      </w:r>
      <w:r w:rsidR="00507893" w:rsidRPr="00BC74E8">
        <w:rPr>
          <w:sz w:val="28"/>
          <w:szCs w:val="28"/>
          <w:lang w:val="pt-BR"/>
        </w:rPr>
        <w:t xml:space="preserve"> Hiện tại, theo báo cáo của doanh nghiệp không có kh</w:t>
      </w:r>
      <w:r w:rsidR="00CB6DC6">
        <w:rPr>
          <w:sz w:val="28"/>
          <w:szCs w:val="28"/>
          <w:lang w:val="pt-BR"/>
        </w:rPr>
        <w:t>iếu nại, tranh chấp tại khu đất.</w:t>
      </w:r>
    </w:p>
    <w:p w:rsidR="00402501" w:rsidRDefault="00762FDD" w:rsidP="000D7E6B">
      <w:pPr>
        <w:spacing w:after="120"/>
        <w:ind w:firstLine="567"/>
        <w:jc w:val="both"/>
        <w:rPr>
          <w:b/>
          <w:i/>
          <w:sz w:val="28"/>
          <w:szCs w:val="28"/>
          <w:lang w:val="nl-NL"/>
        </w:rPr>
      </w:pPr>
      <w:r w:rsidRPr="00577EF1">
        <w:rPr>
          <w:b/>
          <w:i/>
          <w:sz w:val="28"/>
          <w:szCs w:val="28"/>
          <w:lang w:val="vi-VN"/>
        </w:rPr>
        <w:t>- Về nộp tiền thuê đất, tiền thuế sử dụng đất</w:t>
      </w:r>
    </w:p>
    <w:p w:rsidR="00402501" w:rsidRDefault="00DD6862" w:rsidP="000D7E6B">
      <w:pPr>
        <w:spacing w:after="120"/>
        <w:ind w:firstLine="567"/>
        <w:jc w:val="both"/>
        <w:rPr>
          <w:sz w:val="28"/>
          <w:szCs w:val="28"/>
          <w:lang w:val="pt-BR"/>
        </w:rPr>
      </w:pPr>
      <w:r w:rsidRPr="00BC74E8">
        <w:rPr>
          <w:sz w:val="28"/>
          <w:szCs w:val="28"/>
          <w:lang w:val="vi-VN"/>
        </w:rPr>
        <w:t>+ Thực hiện theo dõi, đóng nộp tiền thuê đất, tiền thuế sử dụng đất phi NN</w:t>
      </w:r>
      <w:r w:rsidRPr="00577EF1">
        <w:rPr>
          <w:i/>
          <w:sz w:val="28"/>
          <w:szCs w:val="28"/>
          <w:lang w:val="vi-VN"/>
        </w:rPr>
        <w:t>:</w:t>
      </w:r>
      <w:r w:rsidR="00507893" w:rsidRPr="00BC74E8">
        <w:rPr>
          <w:sz w:val="28"/>
          <w:szCs w:val="28"/>
          <w:lang w:val="pt-BR"/>
        </w:rPr>
        <w:t xml:space="preserve"> Công ty mở sổ sách theo dõi đầy đủ các khoản tiền thuê đất, tiền thuế sử dụng đất phi nông nghiệp, cụ thể: Năm 2019, đã đóng nộp số tiền 376.201.425 đồng (thuê đất: 350.266.440 đồng, thuế sử dụng đất phi NN: 25.934.985 đồng), năm 2020 đã đóng nộp: 813.045.361 đồng (thuê đất: 787.110.376 đồng, thuế sử dụng đất phi NN: 25.934.985 đồng)</w:t>
      </w:r>
      <w:r w:rsidR="00004731">
        <w:rPr>
          <w:sz w:val="28"/>
          <w:szCs w:val="28"/>
          <w:lang w:val="pt-BR"/>
        </w:rPr>
        <w:t>.</w:t>
      </w:r>
    </w:p>
    <w:p w:rsidR="00402501" w:rsidRDefault="00355F7A" w:rsidP="000D7E6B">
      <w:pPr>
        <w:spacing w:after="120"/>
        <w:ind w:firstLine="567"/>
        <w:jc w:val="both"/>
        <w:rPr>
          <w:sz w:val="28"/>
          <w:szCs w:val="28"/>
          <w:lang w:val="nl-NL"/>
        </w:rPr>
      </w:pPr>
      <w:r w:rsidRPr="00BC74E8">
        <w:rPr>
          <w:sz w:val="28"/>
          <w:szCs w:val="28"/>
          <w:lang w:val="vi-VN"/>
        </w:rPr>
        <w:t>+ Về miễn tiền thuê đất:</w:t>
      </w:r>
      <w:r w:rsidR="00481F07" w:rsidRPr="000D7E6B">
        <w:rPr>
          <w:sz w:val="28"/>
          <w:szCs w:val="28"/>
          <w:lang w:val="pt-BR"/>
        </w:rPr>
        <w:t xml:space="preserve"> </w:t>
      </w:r>
      <w:r w:rsidR="00507893" w:rsidRPr="00BC74E8">
        <w:rPr>
          <w:sz w:val="28"/>
          <w:szCs w:val="28"/>
          <w:lang w:val="nl-NL"/>
        </w:rPr>
        <w:t xml:space="preserve">Thửa đất </w:t>
      </w:r>
      <w:r w:rsidR="00507893" w:rsidRPr="00BC74E8">
        <w:rPr>
          <w:sz w:val="28"/>
          <w:szCs w:val="28"/>
          <w:lang w:val="pt-BR"/>
        </w:rPr>
        <w:t>được miễn tiền thuê đất theo Quyết định số 939/QĐ-CT ngày 04/5/2015 của Cục Thuế tỉnh với số tiền được miễn: 2.140.515.657 đồng, thời gian được miễn 04 năm 07 tháng (từ 03/9/2014 đến 03/4/2019)</w:t>
      </w:r>
      <w:r w:rsidR="00004731">
        <w:rPr>
          <w:sz w:val="28"/>
          <w:szCs w:val="28"/>
          <w:vertAlign w:val="superscript"/>
          <w:lang w:val="pt-BR"/>
        </w:rPr>
        <w:t>(</w:t>
      </w:r>
      <w:r w:rsidR="00507893" w:rsidRPr="00BC74E8">
        <w:rPr>
          <w:rStyle w:val="FootnoteReference"/>
          <w:sz w:val="28"/>
          <w:szCs w:val="28"/>
          <w:lang w:val="pt-BR"/>
        </w:rPr>
        <w:footnoteReference w:id="5"/>
      </w:r>
      <w:r w:rsidR="00004731">
        <w:rPr>
          <w:sz w:val="28"/>
          <w:szCs w:val="28"/>
          <w:vertAlign w:val="superscript"/>
          <w:lang w:val="pt-BR"/>
        </w:rPr>
        <w:t>)</w:t>
      </w:r>
      <w:r w:rsidR="00507893" w:rsidRPr="00BC74E8">
        <w:rPr>
          <w:sz w:val="28"/>
          <w:szCs w:val="28"/>
          <w:lang w:val="pt-BR"/>
        </w:rPr>
        <w:t xml:space="preserve">. </w:t>
      </w:r>
    </w:p>
    <w:p w:rsidR="00402501" w:rsidRDefault="00451EE9" w:rsidP="000D7E6B">
      <w:pPr>
        <w:spacing w:after="120"/>
        <w:ind w:firstLine="567"/>
        <w:jc w:val="both"/>
        <w:rPr>
          <w:b/>
          <w:sz w:val="28"/>
          <w:szCs w:val="28"/>
          <w:lang w:val="nl-NL"/>
        </w:rPr>
      </w:pPr>
      <w:r w:rsidRPr="00577EF1">
        <w:rPr>
          <w:b/>
          <w:sz w:val="28"/>
          <w:szCs w:val="28"/>
          <w:lang w:val="nl-NL"/>
        </w:rPr>
        <w:t>5. Việc chấp hành quy định pháp luật về ĐTXD</w:t>
      </w:r>
      <w:r w:rsidR="00DD6862" w:rsidRPr="00577EF1">
        <w:rPr>
          <w:b/>
          <w:sz w:val="28"/>
          <w:szCs w:val="28"/>
          <w:lang w:val="nl-NL"/>
        </w:rPr>
        <w:t xml:space="preserve"> dự án</w:t>
      </w:r>
    </w:p>
    <w:p w:rsidR="00402501" w:rsidRDefault="00A42B0A" w:rsidP="000D7E6B">
      <w:pPr>
        <w:spacing w:after="120"/>
        <w:ind w:firstLine="567"/>
        <w:jc w:val="both"/>
        <w:rPr>
          <w:bCs/>
          <w:sz w:val="28"/>
          <w:szCs w:val="28"/>
          <w:lang w:val="pt-BR"/>
        </w:rPr>
      </w:pPr>
      <w:r w:rsidRPr="00BC74E8">
        <w:rPr>
          <w:sz w:val="28"/>
          <w:szCs w:val="28"/>
          <w:lang w:val="pt-BR"/>
        </w:rPr>
        <w:t xml:space="preserve">Trong kỳ thanh tra, Công ty thực hiện đầu tư </w:t>
      </w:r>
      <w:r w:rsidRPr="00BC74E8">
        <w:rPr>
          <w:color w:val="000000"/>
          <w:sz w:val="28"/>
          <w:szCs w:val="28"/>
          <w:lang w:val="vi-VN" w:eastAsia="vi-VN" w:bidi="vi-VN"/>
        </w:rPr>
        <w:t xml:space="preserve">xây dựng, lắp đặt </w:t>
      </w:r>
      <w:r w:rsidRPr="00B701D5">
        <w:rPr>
          <w:color w:val="000000"/>
          <w:sz w:val="28"/>
          <w:szCs w:val="28"/>
          <w:lang w:val="nl-NL" w:eastAsia="vi-VN" w:bidi="vi-VN"/>
        </w:rPr>
        <w:t xml:space="preserve">bổ sung thêm </w:t>
      </w:r>
      <w:r w:rsidR="00004731">
        <w:rPr>
          <w:color w:val="000000"/>
          <w:sz w:val="28"/>
          <w:szCs w:val="28"/>
          <w:lang w:val="nl-NL" w:eastAsia="vi-VN" w:bidi="vi-VN"/>
        </w:rPr>
        <w:t>0</w:t>
      </w:r>
      <w:r w:rsidRPr="00BC74E8">
        <w:rPr>
          <w:color w:val="000000"/>
          <w:sz w:val="28"/>
          <w:szCs w:val="28"/>
          <w:lang w:val="vi-VN" w:eastAsia="vi-VN" w:bidi="vi-VN"/>
        </w:rPr>
        <w:t xml:space="preserve">2 </w:t>
      </w:r>
      <w:r w:rsidRPr="00B701D5">
        <w:rPr>
          <w:color w:val="000000"/>
          <w:sz w:val="28"/>
          <w:szCs w:val="28"/>
          <w:lang w:val="nl-NL" w:eastAsia="vi-VN" w:bidi="vi-VN"/>
        </w:rPr>
        <w:t>T</w:t>
      </w:r>
      <w:r w:rsidRPr="00BC74E8">
        <w:rPr>
          <w:color w:val="000000"/>
          <w:sz w:val="28"/>
          <w:szCs w:val="28"/>
          <w:lang w:val="vi-VN" w:eastAsia="vi-VN" w:bidi="vi-VN"/>
        </w:rPr>
        <w:t xml:space="preserve">ank </w:t>
      </w:r>
      <w:r w:rsidRPr="00B701D5">
        <w:rPr>
          <w:color w:val="000000"/>
          <w:sz w:val="28"/>
          <w:szCs w:val="28"/>
          <w:lang w:val="nl-NL" w:eastAsia="vi-VN" w:bidi="vi-VN"/>
        </w:rPr>
        <w:t>(thùng</w:t>
      </w:r>
      <w:r w:rsidR="00004731">
        <w:rPr>
          <w:color w:val="000000"/>
          <w:sz w:val="28"/>
          <w:szCs w:val="28"/>
          <w:lang w:val="nl-NL" w:eastAsia="vi-VN" w:bidi="vi-VN"/>
        </w:rPr>
        <w:t xml:space="preserve"> nằm ngang</w:t>
      </w:r>
      <w:r w:rsidRPr="00B701D5">
        <w:rPr>
          <w:color w:val="000000"/>
          <w:sz w:val="28"/>
          <w:szCs w:val="28"/>
          <w:lang w:val="nl-NL" w:eastAsia="vi-VN" w:bidi="vi-VN"/>
        </w:rPr>
        <w:t xml:space="preserve">) </w:t>
      </w:r>
      <w:r w:rsidR="009821CB" w:rsidRPr="00B701D5">
        <w:rPr>
          <w:color w:val="000000"/>
          <w:sz w:val="28"/>
          <w:szCs w:val="28"/>
          <w:lang w:val="nl-NL" w:eastAsia="vi-VN" w:bidi="vi-VN"/>
        </w:rPr>
        <w:t>để sản xuất bi</w:t>
      </w:r>
      <w:r w:rsidR="00DE13AD">
        <w:rPr>
          <w:color w:val="000000"/>
          <w:sz w:val="28"/>
          <w:szCs w:val="28"/>
          <w:lang w:val="nl-NL" w:eastAsia="vi-VN" w:bidi="vi-VN"/>
        </w:rPr>
        <w:t>a</w:t>
      </w:r>
      <w:r w:rsidRPr="00B701D5">
        <w:rPr>
          <w:color w:val="000000"/>
          <w:sz w:val="28"/>
          <w:szCs w:val="28"/>
          <w:lang w:val="nl-NL" w:eastAsia="vi-VN" w:bidi="vi-VN"/>
        </w:rPr>
        <w:t>, mỗi Tank</w:t>
      </w:r>
      <w:r w:rsidRPr="00BC74E8">
        <w:rPr>
          <w:color w:val="000000"/>
          <w:sz w:val="28"/>
          <w:szCs w:val="28"/>
          <w:lang w:val="vi-VN" w:eastAsia="vi-VN" w:bidi="vi-VN"/>
        </w:rPr>
        <w:t xml:space="preserve"> dung tích 165m</w:t>
      </w:r>
      <w:r w:rsidRPr="00BC74E8">
        <w:rPr>
          <w:color w:val="000000"/>
          <w:sz w:val="28"/>
          <w:szCs w:val="28"/>
          <w:vertAlign w:val="superscript"/>
          <w:lang w:val="vi-VN" w:eastAsia="vi-VN" w:bidi="vi-VN"/>
        </w:rPr>
        <w:t>3</w:t>
      </w:r>
      <w:r w:rsidRPr="00BC74E8">
        <w:rPr>
          <w:color w:val="000000"/>
          <w:sz w:val="28"/>
          <w:szCs w:val="28"/>
          <w:lang w:val="pt-BR" w:eastAsia="vi-VN" w:bidi="vi-VN"/>
        </w:rPr>
        <w:t xml:space="preserve">, với </w:t>
      </w:r>
      <w:r w:rsidR="00004731">
        <w:rPr>
          <w:color w:val="000000"/>
          <w:sz w:val="28"/>
          <w:szCs w:val="28"/>
          <w:lang w:val="pt-BR" w:eastAsia="vi-VN" w:bidi="vi-VN"/>
        </w:rPr>
        <w:t xml:space="preserve">tổng </w:t>
      </w:r>
      <w:r w:rsidRPr="00BC74E8">
        <w:rPr>
          <w:color w:val="000000"/>
          <w:sz w:val="28"/>
          <w:szCs w:val="28"/>
          <w:lang w:val="pt-BR" w:eastAsia="vi-VN" w:bidi="vi-VN"/>
        </w:rPr>
        <w:t xml:space="preserve">giá trị đầu tư 13.166.359.220 đồng, năm 2019 đã nghiệm thu đưa vào sử dụng. Qua kiểm tra, Công ty đã </w:t>
      </w:r>
      <w:r w:rsidR="00CA5889">
        <w:rPr>
          <w:color w:val="000000"/>
          <w:sz w:val="28"/>
          <w:szCs w:val="28"/>
          <w:lang w:val="pt-BR" w:eastAsia="vi-VN" w:bidi="vi-VN"/>
        </w:rPr>
        <w:t xml:space="preserve">thực hiện đảm bảo trình tự, thủ tục thẩm quyền </w:t>
      </w:r>
      <w:r w:rsidR="00004731">
        <w:rPr>
          <w:color w:val="000000"/>
          <w:sz w:val="28"/>
          <w:szCs w:val="28"/>
          <w:lang w:val="pt-BR" w:eastAsia="vi-VN" w:bidi="vi-VN"/>
        </w:rPr>
        <w:t xml:space="preserve">về </w:t>
      </w:r>
      <w:r w:rsidR="00CA5889">
        <w:rPr>
          <w:color w:val="000000"/>
          <w:sz w:val="28"/>
          <w:szCs w:val="28"/>
          <w:lang w:val="pt-BR" w:eastAsia="vi-VN" w:bidi="vi-VN"/>
        </w:rPr>
        <w:t>đầu t</w:t>
      </w:r>
      <w:r w:rsidR="00816CE6">
        <w:rPr>
          <w:color w:val="000000"/>
          <w:sz w:val="28"/>
          <w:szCs w:val="28"/>
          <w:lang w:val="pt-BR" w:eastAsia="vi-VN" w:bidi="vi-VN"/>
        </w:rPr>
        <w:t>ư xây dựng đối với doanh nghiệp</w:t>
      </w:r>
      <w:r w:rsidRPr="00BC74E8">
        <w:rPr>
          <w:color w:val="000000"/>
          <w:sz w:val="28"/>
          <w:szCs w:val="28"/>
          <w:lang w:val="pt-BR" w:eastAsia="vi-VN" w:bidi="vi-VN"/>
        </w:rPr>
        <w:t xml:space="preserve">. Tuy vậy nhà thầu: </w:t>
      </w:r>
      <w:r w:rsidRPr="00B701D5">
        <w:rPr>
          <w:bCs/>
          <w:sz w:val="28"/>
          <w:szCs w:val="28"/>
          <w:lang w:val="pt-BR"/>
        </w:rPr>
        <w:t xml:space="preserve">Công ty TNHH Cơ nhiệt </w:t>
      </w:r>
      <w:r w:rsidR="00004731">
        <w:rPr>
          <w:bCs/>
          <w:sz w:val="28"/>
          <w:szCs w:val="28"/>
          <w:lang w:val="pt-BR"/>
        </w:rPr>
        <w:t>đ</w:t>
      </w:r>
      <w:r w:rsidRPr="00B701D5">
        <w:rPr>
          <w:bCs/>
          <w:sz w:val="28"/>
          <w:szCs w:val="28"/>
          <w:lang w:val="pt-BR"/>
        </w:rPr>
        <w:t>iện lạnh Bách Khoa</w:t>
      </w:r>
      <w:r w:rsidRPr="00B701D5">
        <w:rPr>
          <w:bCs/>
          <w:i/>
          <w:sz w:val="28"/>
          <w:szCs w:val="28"/>
          <w:lang w:val="pt-BR"/>
        </w:rPr>
        <w:t xml:space="preserve"> (Mã số thuế: 0100520122; địa chỉ: Số 24, đường Đại Cồ Việt, phường Lê Đại Hành, Quận Hai Bà Trưng, TP. Hà Nội) </w:t>
      </w:r>
      <w:r w:rsidRPr="00B701D5">
        <w:rPr>
          <w:bCs/>
          <w:sz w:val="28"/>
          <w:szCs w:val="28"/>
          <w:lang w:val="pt-BR"/>
        </w:rPr>
        <w:t>thi công gói thầu xây dựng lắp đặt thiết bị với giá trị hợp đồng được nghiệm thu thanh toán</w:t>
      </w:r>
      <w:r w:rsidR="008C59B6">
        <w:rPr>
          <w:bCs/>
          <w:sz w:val="28"/>
          <w:szCs w:val="28"/>
          <w:lang w:val="pt-BR"/>
        </w:rPr>
        <w:t xml:space="preserve"> </w:t>
      </w:r>
      <w:r w:rsidRPr="00B701D5">
        <w:rPr>
          <w:iCs/>
          <w:sz w:val="28"/>
          <w:szCs w:val="28"/>
          <w:lang w:val="pt-BR"/>
        </w:rPr>
        <w:t>12.330.000.000 đồng</w:t>
      </w:r>
      <w:r w:rsidR="00004731">
        <w:rPr>
          <w:iCs/>
          <w:sz w:val="28"/>
          <w:szCs w:val="28"/>
          <w:lang w:val="pt-BR"/>
        </w:rPr>
        <w:t>.</w:t>
      </w:r>
      <w:r w:rsidR="00DE13AD">
        <w:rPr>
          <w:iCs/>
          <w:sz w:val="28"/>
          <w:szCs w:val="28"/>
          <w:lang w:val="pt-BR"/>
        </w:rPr>
        <w:t xml:space="preserve"> </w:t>
      </w:r>
      <w:r w:rsidR="00004731">
        <w:rPr>
          <w:iCs/>
          <w:sz w:val="28"/>
          <w:szCs w:val="28"/>
          <w:lang w:val="pt-BR"/>
        </w:rPr>
        <w:t>Đ</w:t>
      </w:r>
      <w:r w:rsidRPr="00B701D5">
        <w:rPr>
          <w:iCs/>
          <w:sz w:val="28"/>
          <w:szCs w:val="28"/>
          <w:lang w:val="pt-BR"/>
        </w:rPr>
        <w:t>ây</w:t>
      </w:r>
      <w:r w:rsidRPr="00B701D5">
        <w:rPr>
          <w:bCs/>
          <w:sz w:val="28"/>
          <w:szCs w:val="28"/>
          <w:lang w:val="pt-BR"/>
        </w:rPr>
        <w:t xml:space="preserve"> là Nhà thầu </w:t>
      </w:r>
      <w:r w:rsidR="00816CE6">
        <w:rPr>
          <w:bCs/>
          <w:sz w:val="28"/>
          <w:szCs w:val="28"/>
          <w:lang w:val="pt-BR"/>
        </w:rPr>
        <w:t xml:space="preserve">có trụ sở ngoài tỉnh Hà Tĩnh, </w:t>
      </w:r>
      <w:r w:rsidRPr="00B701D5">
        <w:rPr>
          <w:bCs/>
          <w:sz w:val="28"/>
          <w:szCs w:val="28"/>
          <w:lang w:val="pt-BR"/>
        </w:rPr>
        <w:t xml:space="preserve">nhưng đến thời điểm thanh tra chưa </w:t>
      </w:r>
      <w:r w:rsidR="00816CE6">
        <w:rPr>
          <w:bCs/>
          <w:sz w:val="28"/>
          <w:szCs w:val="28"/>
          <w:lang w:val="pt-BR"/>
        </w:rPr>
        <w:t>đăng ký</w:t>
      </w:r>
      <w:r w:rsidR="008C59B6">
        <w:rPr>
          <w:bCs/>
          <w:sz w:val="28"/>
          <w:szCs w:val="28"/>
          <w:lang w:val="pt-BR"/>
        </w:rPr>
        <w:t xml:space="preserve"> </w:t>
      </w:r>
      <w:r w:rsidRPr="00B701D5">
        <w:rPr>
          <w:bCs/>
          <w:sz w:val="28"/>
          <w:szCs w:val="28"/>
          <w:lang w:val="pt-BR"/>
        </w:rPr>
        <w:t>kê khai và đóng nộp thuế GTGT vãng lai ngoại tỉnh</w:t>
      </w:r>
      <w:r w:rsidR="00816CE6">
        <w:rPr>
          <w:bCs/>
          <w:sz w:val="28"/>
          <w:szCs w:val="28"/>
          <w:lang w:val="pt-BR"/>
        </w:rPr>
        <w:t xml:space="preserve"> theo quy định</w:t>
      </w:r>
      <w:r w:rsidRPr="00B701D5">
        <w:rPr>
          <w:bCs/>
          <w:sz w:val="28"/>
          <w:szCs w:val="28"/>
          <w:lang w:val="pt-BR"/>
        </w:rPr>
        <w:t xml:space="preserve">. Đoàn thanh tra đã lập Biên bản ngày 10/8/2021 xác nhận sự việc và yêu cầu Công ty TNHH Cơ nhiệt </w:t>
      </w:r>
      <w:r w:rsidR="00004731">
        <w:rPr>
          <w:bCs/>
          <w:sz w:val="28"/>
          <w:szCs w:val="28"/>
          <w:lang w:val="pt-BR"/>
        </w:rPr>
        <w:t>đ</w:t>
      </w:r>
      <w:r w:rsidRPr="00B701D5">
        <w:rPr>
          <w:bCs/>
          <w:sz w:val="28"/>
          <w:szCs w:val="28"/>
          <w:lang w:val="pt-BR"/>
        </w:rPr>
        <w:t>iện lạnh Bách Khoa</w:t>
      </w:r>
      <w:r w:rsidR="00DE13AD">
        <w:rPr>
          <w:bCs/>
          <w:sz w:val="28"/>
          <w:szCs w:val="28"/>
          <w:lang w:val="pt-BR"/>
        </w:rPr>
        <w:t xml:space="preserve"> </w:t>
      </w:r>
      <w:r w:rsidR="00816CE6">
        <w:rPr>
          <w:bCs/>
          <w:sz w:val="28"/>
          <w:szCs w:val="28"/>
          <w:lang w:val="pt-BR"/>
        </w:rPr>
        <w:t>phải truy</w:t>
      </w:r>
      <w:r w:rsidR="008C59B6">
        <w:rPr>
          <w:bCs/>
          <w:sz w:val="28"/>
          <w:szCs w:val="28"/>
          <w:lang w:val="pt-BR"/>
        </w:rPr>
        <w:t xml:space="preserve"> </w:t>
      </w:r>
      <w:r w:rsidRPr="00B701D5">
        <w:rPr>
          <w:bCs/>
          <w:sz w:val="28"/>
          <w:szCs w:val="28"/>
          <w:lang w:val="pt-BR"/>
        </w:rPr>
        <w:t xml:space="preserve">nộp </w:t>
      </w:r>
      <w:r w:rsidR="00816CE6">
        <w:rPr>
          <w:bCs/>
          <w:sz w:val="28"/>
          <w:szCs w:val="28"/>
          <w:lang w:val="pt-BR"/>
        </w:rPr>
        <w:t>số</w:t>
      </w:r>
      <w:r w:rsidRPr="00B701D5">
        <w:rPr>
          <w:bCs/>
          <w:sz w:val="28"/>
          <w:szCs w:val="28"/>
          <w:lang w:val="pt-BR"/>
        </w:rPr>
        <w:t xml:space="preserve"> tiền thuế GTGT vãng lai ngoại tỉnh </w:t>
      </w:r>
      <w:r w:rsidR="00816CE6">
        <w:rPr>
          <w:bCs/>
          <w:sz w:val="28"/>
          <w:szCs w:val="28"/>
          <w:lang w:val="pt-BR"/>
        </w:rPr>
        <w:lastRenderedPageBreak/>
        <w:t>chưa thực hiện</w:t>
      </w:r>
      <w:r w:rsidRPr="00B701D5">
        <w:rPr>
          <w:bCs/>
          <w:sz w:val="28"/>
          <w:szCs w:val="28"/>
          <w:lang w:val="pt-BR"/>
        </w:rPr>
        <w:t xml:space="preserve">; ngày 13/8/2021, Công ty TNHH Cơ nhiệt </w:t>
      </w:r>
      <w:r w:rsidR="00004731">
        <w:rPr>
          <w:bCs/>
          <w:sz w:val="28"/>
          <w:szCs w:val="28"/>
          <w:lang w:val="pt-BR"/>
        </w:rPr>
        <w:t>đ</w:t>
      </w:r>
      <w:r w:rsidRPr="00B701D5">
        <w:rPr>
          <w:bCs/>
          <w:sz w:val="28"/>
          <w:szCs w:val="28"/>
          <w:lang w:val="pt-BR"/>
        </w:rPr>
        <w:t xml:space="preserve">iện lạnh Bách Khoa đã </w:t>
      </w:r>
      <w:r w:rsidR="00816CE6">
        <w:rPr>
          <w:bCs/>
          <w:sz w:val="28"/>
          <w:szCs w:val="28"/>
          <w:lang w:val="pt-BR"/>
        </w:rPr>
        <w:t>chuyển</w:t>
      </w:r>
      <w:r w:rsidR="008C59B6">
        <w:rPr>
          <w:bCs/>
          <w:sz w:val="28"/>
          <w:szCs w:val="28"/>
          <w:lang w:val="pt-BR"/>
        </w:rPr>
        <w:t xml:space="preserve"> </w:t>
      </w:r>
      <w:r w:rsidRPr="00B701D5">
        <w:rPr>
          <w:bCs/>
          <w:sz w:val="28"/>
          <w:szCs w:val="28"/>
          <w:lang w:val="pt-BR"/>
        </w:rPr>
        <w:t xml:space="preserve">nộp đầy đủ số thuế </w:t>
      </w:r>
      <w:r w:rsidRPr="00B701D5">
        <w:rPr>
          <w:sz w:val="28"/>
          <w:szCs w:val="28"/>
          <w:lang w:val="pt-BR"/>
        </w:rPr>
        <w:t xml:space="preserve">224.181.818 </w:t>
      </w:r>
      <w:r w:rsidRPr="00B701D5">
        <w:rPr>
          <w:sz w:val="28"/>
          <w:szCs w:val="28"/>
          <w:lang w:val="pt-BR" w:eastAsia="vi-VN"/>
        </w:rPr>
        <w:t xml:space="preserve">đồng vào Kho bạc Nhà nước huyện Thạch Hà theo </w:t>
      </w:r>
      <w:r w:rsidR="00816CE6">
        <w:rPr>
          <w:sz w:val="28"/>
          <w:szCs w:val="28"/>
          <w:lang w:val="pt-BR" w:eastAsia="vi-VN"/>
        </w:rPr>
        <w:t>Biên bản</w:t>
      </w:r>
      <w:r w:rsidR="00906C0B">
        <w:rPr>
          <w:sz w:val="28"/>
          <w:szCs w:val="28"/>
          <w:lang w:val="pt-BR" w:eastAsia="vi-VN"/>
        </w:rPr>
        <w:t xml:space="preserve"> đã ký giữa Đoàn thanh tra,</w:t>
      </w:r>
      <w:r w:rsidR="00DE13AD">
        <w:rPr>
          <w:sz w:val="28"/>
          <w:szCs w:val="28"/>
          <w:lang w:val="pt-BR" w:eastAsia="vi-VN"/>
        </w:rPr>
        <w:t xml:space="preserve"> Chủ đầu tư</w:t>
      </w:r>
      <w:r w:rsidR="00906C0B">
        <w:rPr>
          <w:sz w:val="28"/>
          <w:szCs w:val="28"/>
          <w:lang w:val="pt-BR" w:eastAsia="vi-VN"/>
        </w:rPr>
        <w:t xml:space="preserve"> và </w:t>
      </w:r>
      <w:r w:rsidR="00004731">
        <w:rPr>
          <w:sz w:val="28"/>
          <w:szCs w:val="28"/>
          <w:lang w:val="pt-BR" w:eastAsia="vi-VN"/>
        </w:rPr>
        <w:t>Nh</w:t>
      </w:r>
      <w:r w:rsidR="00906C0B">
        <w:rPr>
          <w:sz w:val="28"/>
          <w:szCs w:val="28"/>
          <w:lang w:val="pt-BR" w:eastAsia="vi-VN"/>
        </w:rPr>
        <w:t>à thầu</w:t>
      </w:r>
      <w:r w:rsidR="008C59B6">
        <w:rPr>
          <w:sz w:val="28"/>
          <w:szCs w:val="28"/>
          <w:lang w:val="pt-BR" w:eastAsia="vi-VN"/>
        </w:rPr>
        <w:t xml:space="preserve"> </w:t>
      </w:r>
      <w:r w:rsidRPr="00B701D5">
        <w:rPr>
          <w:sz w:val="28"/>
          <w:szCs w:val="28"/>
          <w:lang w:val="pt-BR" w:eastAsia="vi-VN"/>
        </w:rPr>
        <w:t>(Có bản phô tô giấy nộp tiền gửi kèm).</w:t>
      </w:r>
    </w:p>
    <w:p w:rsidR="00402501" w:rsidRDefault="00FE5DDF" w:rsidP="000D7E6B">
      <w:pPr>
        <w:spacing w:after="120"/>
        <w:ind w:firstLine="567"/>
        <w:jc w:val="both"/>
        <w:rPr>
          <w:b/>
          <w:bCs/>
          <w:sz w:val="26"/>
          <w:szCs w:val="26"/>
          <w:lang w:val="sv-SE"/>
        </w:rPr>
      </w:pPr>
      <w:r w:rsidRPr="00F05255">
        <w:rPr>
          <w:b/>
          <w:bCs/>
          <w:sz w:val="26"/>
          <w:szCs w:val="26"/>
          <w:lang w:val="sv-SE"/>
        </w:rPr>
        <w:t>III. KẾT LUẬN</w:t>
      </w:r>
    </w:p>
    <w:p w:rsidR="00402501" w:rsidRDefault="00FE5DDF" w:rsidP="000D7E6B">
      <w:pPr>
        <w:spacing w:after="120"/>
        <w:ind w:firstLine="567"/>
        <w:jc w:val="both"/>
        <w:rPr>
          <w:b/>
          <w:sz w:val="28"/>
          <w:szCs w:val="28"/>
          <w:lang w:val="nl-NL"/>
        </w:rPr>
      </w:pPr>
      <w:r w:rsidRPr="00F05255">
        <w:rPr>
          <w:b/>
          <w:sz w:val="28"/>
          <w:szCs w:val="28"/>
          <w:lang w:val="nl-NL"/>
        </w:rPr>
        <w:t>1. Kết quả, ưu điểm</w:t>
      </w:r>
    </w:p>
    <w:p w:rsidR="00402501" w:rsidRDefault="002F4C2D" w:rsidP="000D7E6B">
      <w:pPr>
        <w:spacing w:after="120"/>
        <w:ind w:firstLine="567"/>
        <w:jc w:val="both"/>
        <w:rPr>
          <w:rFonts w:asciiTheme="majorHAnsi" w:hAnsiTheme="majorHAnsi" w:cstheme="majorHAnsi"/>
          <w:sz w:val="28"/>
          <w:szCs w:val="28"/>
          <w:lang w:val="nl-NL"/>
        </w:rPr>
      </w:pPr>
      <w:r w:rsidRPr="00BC74E8">
        <w:rPr>
          <w:rFonts w:asciiTheme="majorHAnsi" w:hAnsiTheme="majorHAnsi" w:cstheme="majorHAnsi"/>
          <w:sz w:val="28"/>
          <w:szCs w:val="28"/>
          <w:lang w:val="nl-NL"/>
        </w:rPr>
        <w:t xml:space="preserve">- Công ty </w:t>
      </w:r>
      <w:r w:rsidR="006B55E9">
        <w:rPr>
          <w:rFonts w:asciiTheme="majorHAnsi" w:hAnsiTheme="majorHAnsi" w:cstheme="majorHAnsi"/>
          <w:sz w:val="28"/>
          <w:szCs w:val="28"/>
          <w:lang w:val="nl-NL"/>
        </w:rPr>
        <w:t xml:space="preserve">là doanh nghiệp </w:t>
      </w:r>
      <w:r w:rsidRPr="00BC74E8">
        <w:rPr>
          <w:rFonts w:asciiTheme="majorHAnsi" w:hAnsiTheme="majorHAnsi" w:cstheme="majorHAnsi"/>
          <w:sz w:val="28"/>
          <w:szCs w:val="28"/>
          <w:lang w:val="nl-NL"/>
        </w:rPr>
        <w:t xml:space="preserve">hoạt động trong lĩnh vực </w:t>
      </w:r>
      <w:r w:rsidR="00257B46" w:rsidRPr="00BC74E8">
        <w:rPr>
          <w:rFonts w:asciiTheme="majorHAnsi" w:hAnsiTheme="majorHAnsi" w:cstheme="majorHAnsi"/>
          <w:sz w:val="28"/>
          <w:szCs w:val="28"/>
          <w:lang w:val="nl-NL"/>
        </w:rPr>
        <w:t>sản xuất bia</w:t>
      </w:r>
      <w:r w:rsidR="00004731">
        <w:rPr>
          <w:rFonts w:asciiTheme="majorHAnsi" w:hAnsiTheme="majorHAnsi" w:cstheme="majorHAnsi"/>
          <w:sz w:val="28"/>
          <w:szCs w:val="28"/>
          <w:lang w:val="nl-NL"/>
        </w:rPr>
        <w:t xml:space="preserve"> (</w:t>
      </w:r>
      <w:r w:rsidR="009734CF">
        <w:rPr>
          <w:rFonts w:asciiTheme="majorHAnsi" w:hAnsiTheme="majorHAnsi" w:cstheme="majorHAnsi"/>
          <w:sz w:val="28"/>
          <w:szCs w:val="28"/>
          <w:lang w:val="nl-NL"/>
        </w:rPr>
        <w:t>mặt hàng chịu thuế tiêu thụ đặc</w:t>
      </w:r>
      <w:r w:rsidR="009B736B" w:rsidRPr="00BC74E8">
        <w:rPr>
          <w:rFonts w:asciiTheme="majorHAnsi" w:hAnsiTheme="majorHAnsi" w:cstheme="majorHAnsi"/>
          <w:sz w:val="28"/>
          <w:szCs w:val="28"/>
          <w:lang w:val="nl-NL"/>
        </w:rPr>
        <w:t xml:space="preserve"> biệt với mức thuế suất 65%</w:t>
      </w:r>
      <w:r w:rsidR="00004731">
        <w:rPr>
          <w:rFonts w:asciiTheme="majorHAnsi" w:hAnsiTheme="majorHAnsi" w:cstheme="majorHAnsi"/>
          <w:sz w:val="28"/>
          <w:szCs w:val="28"/>
          <w:lang w:val="nl-NL"/>
        </w:rPr>
        <w:t>)</w:t>
      </w:r>
      <w:r w:rsidR="006B55E9">
        <w:rPr>
          <w:rFonts w:asciiTheme="majorHAnsi" w:hAnsiTheme="majorHAnsi" w:cstheme="majorHAnsi"/>
          <w:sz w:val="28"/>
          <w:szCs w:val="28"/>
          <w:lang w:val="nl-NL"/>
        </w:rPr>
        <w:t xml:space="preserve">. </w:t>
      </w:r>
      <w:r w:rsidR="009B736B" w:rsidRPr="00BC74E8">
        <w:rPr>
          <w:rFonts w:asciiTheme="majorHAnsi" w:hAnsiTheme="majorHAnsi" w:cstheme="majorHAnsi"/>
          <w:sz w:val="28"/>
          <w:szCs w:val="28"/>
          <w:lang w:val="nl-NL"/>
        </w:rPr>
        <w:t>N</w:t>
      </w:r>
      <w:r w:rsidR="00257B46" w:rsidRPr="00BC74E8">
        <w:rPr>
          <w:rFonts w:asciiTheme="majorHAnsi" w:hAnsiTheme="majorHAnsi" w:cstheme="majorHAnsi"/>
          <w:sz w:val="28"/>
          <w:szCs w:val="28"/>
          <w:lang w:val="nl-NL"/>
        </w:rPr>
        <w:t>ăm 2020</w:t>
      </w:r>
      <w:r w:rsidR="008C59B6">
        <w:rPr>
          <w:rFonts w:asciiTheme="majorHAnsi" w:hAnsiTheme="majorHAnsi" w:cstheme="majorHAnsi"/>
          <w:sz w:val="28"/>
          <w:szCs w:val="28"/>
          <w:lang w:val="nl-NL"/>
        </w:rPr>
        <w:t xml:space="preserve"> </w:t>
      </w:r>
      <w:r w:rsidR="00004731">
        <w:rPr>
          <w:rFonts w:asciiTheme="majorHAnsi" w:hAnsiTheme="majorHAnsi" w:cstheme="majorHAnsi"/>
          <w:sz w:val="28"/>
          <w:szCs w:val="28"/>
          <w:lang w:val="nl-NL"/>
        </w:rPr>
        <w:t xml:space="preserve">mặc dù </w:t>
      </w:r>
      <w:r w:rsidR="002844B3" w:rsidRPr="00BC74E8">
        <w:rPr>
          <w:rFonts w:asciiTheme="majorHAnsi" w:hAnsiTheme="majorHAnsi" w:cstheme="majorHAnsi"/>
          <w:sz w:val="28"/>
          <w:szCs w:val="28"/>
          <w:lang w:val="nl-NL"/>
        </w:rPr>
        <w:t xml:space="preserve">bị </w:t>
      </w:r>
      <w:r w:rsidR="00CF6B99" w:rsidRPr="00BC74E8">
        <w:rPr>
          <w:rFonts w:asciiTheme="majorHAnsi" w:hAnsiTheme="majorHAnsi" w:cstheme="majorHAnsi"/>
          <w:sz w:val="28"/>
          <w:szCs w:val="28"/>
          <w:lang w:val="nl-NL"/>
        </w:rPr>
        <w:t>ảnh hưởng của tình hình dịch bệnh Covi</w:t>
      </w:r>
      <w:r w:rsidR="003860B7" w:rsidRPr="00BC74E8">
        <w:rPr>
          <w:rFonts w:asciiTheme="majorHAnsi" w:hAnsiTheme="majorHAnsi" w:cstheme="majorHAnsi"/>
          <w:sz w:val="28"/>
          <w:szCs w:val="28"/>
          <w:lang w:val="nl-NL"/>
        </w:rPr>
        <w:t>d-</w:t>
      </w:r>
      <w:r w:rsidR="00CF6B99" w:rsidRPr="00BC74E8">
        <w:rPr>
          <w:rFonts w:asciiTheme="majorHAnsi" w:hAnsiTheme="majorHAnsi" w:cstheme="majorHAnsi"/>
          <w:sz w:val="28"/>
          <w:szCs w:val="28"/>
          <w:lang w:val="nl-NL"/>
        </w:rPr>
        <w:t>19</w:t>
      </w:r>
      <w:r w:rsidR="009B736B" w:rsidRPr="00BC74E8">
        <w:rPr>
          <w:rFonts w:asciiTheme="majorHAnsi" w:hAnsiTheme="majorHAnsi" w:cstheme="majorHAnsi"/>
          <w:sz w:val="28"/>
          <w:szCs w:val="28"/>
          <w:lang w:val="nl-NL"/>
        </w:rPr>
        <w:t>,</w:t>
      </w:r>
      <w:r w:rsidR="009734CF">
        <w:rPr>
          <w:rFonts w:asciiTheme="majorHAnsi" w:hAnsiTheme="majorHAnsi" w:cstheme="majorHAnsi"/>
          <w:sz w:val="28"/>
          <w:szCs w:val="28"/>
          <w:lang w:val="nl-NL"/>
        </w:rPr>
        <w:t xml:space="preserve"> </w:t>
      </w:r>
      <w:r w:rsidR="009B736B" w:rsidRPr="00BC74E8">
        <w:rPr>
          <w:rFonts w:asciiTheme="majorHAnsi" w:hAnsiTheme="majorHAnsi" w:cstheme="majorHAnsi"/>
          <w:sz w:val="28"/>
          <w:szCs w:val="28"/>
          <w:lang w:val="nl-NL"/>
        </w:rPr>
        <w:t xml:space="preserve">gặp </w:t>
      </w:r>
      <w:r w:rsidR="002844B3" w:rsidRPr="00BC74E8">
        <w:rPr>
          <w:rFonts w:asciiTheme="majorHAnsi" w:hAnsiTheme="majorHAnsi" w:cstheme="majorHAnsi"/>
          <w:sz w:val="28"/>
          <w:szCs w:val="28"/>
          <w:lang w:val="nl-NL"/>
        </w:rPr>
        <w:t xml:space="preserve">khó khăn trong </w:t>
      </w:r>
      <w:r w:rsidR="009B736B" w:rsidRPr="00BC74E8">
        <w:rPr>
          <w:rFonts w:asciiTheme="majorHAnsi" w:hAnsiTheme="majorHAnsi" w:cstheme="majorHAnsi"/>
          <w:sz w:val="28"/>
          <w:szCs w:val="28"/>
          <w:lang w:val="nl-NL"/>
        </w:rPr>
        <w:t>tiêu thụ</w:t>
      </w:r>
      <w:r w:rsidR="00004731">
        <w:rPr>
          <w:rFonts w:asciiTheme="majorHAnsi" w:hAnsiTheme="majorHAnsi" w:cstheme="majorHAnsi"/>
          <w:sz w:val="28"/>
          <w:szCs w:val="28"/>
          <w:lang w:val="nl-NL"/>
        </w:rPr>
        <w:t xml:space="preserve"> sản phẩm</w:t>
      </w:r>
      <w:r w:rsidR="00157B57" w:rsidRPr="00BC74E8">
        <w:rPr>
          <w:rFonts w:asciiTheme="majorHAnsi" w:hAnsiTheme="majorHAnsi" w:cstheme="majorHAnsi"/>
          <w:sz w:val="28"/>
          <w:szCs w:val="28"/>
          <w:lang w:val="nl-NL"/>
        </w:rPr>
        <w:t>,</w:t>
      </w:r>
      <w:r w:rsidR="008C59B6">
        <w:rPr>
          <w:rFonts w:asciiTheme="majorHAnsi" w:hAnsiTheme="majorHAnsi" w:cstheme="majorHAnsi"/>
          <w:sz w:val="28"/>
          <w:szCs w:val="28"/>
          <w:lang w:val="nl-NL"/>
        </w:rPr>
        <w:t xml:space="preserve"> </w:t>
      </w:r>
      <w:r w:rsidRPr="00BC74E8">
        <w:rPr>
          <w:rFonts w:asciiTheme="majorHAnsi" w:hAnsiTheme="majorHAnsi" w:cstheme="majorHAnsi"/>
          <w:sz w:val="28"/>
          <w:szCs w:val="28"/>
          <w:lang w:val="nl-NL"/>
        </w:rPr>
        <w:t xml:space="preserve">nhưng </w:t>
      </w:r>
      <w:r w:rsidR="0011780C" w:rsidRPr="00BC74E8">
        <w:rPr>
          <w:rFonts w:asciiTheme="majorHAnsi" w:hAnsiTheme="majorHAnsi" w:cstheme="majorHAnsi"/>
          <w:sz w:val="28"/>
          <w:szCs w:val="28"/>
          <w:lang w:val="nl-NL"/>
        </w:rPr>
        <w:t xml:space="preserve">Hội đồng </w:t>
      </w:r>
      <w:r w:rsidR="00784B38" w:rsidRPr="00BC74E8">
        <w:rPr>
          <w:rFonts w:asciiTheme="majorHAnsi" w:hAnsiTheme="majorHAnsi" w:cstheme="majorHAnsi"/>
          <w:sz w:val="28"/>
          <w:szCs w:val="28"/>
          <w:lang w:val="nl-NL"/>
        </w:rPr>
        <w:t>thành viên</w:t>
      </w:r>
      <w:r w:rsidR="0011780C" w:rsidRPr="00BC74E8">
        <w:rPr>
          <w:rFonts w:asciiTheme="majorHAnsi" w:hAnsiTheme="majorHAnsi" w:cstheme="majorHAnsi"/>
          <w:sz w:val="28"/>
          <w:szCs w:val="28"/>
          <w:lang w:val="nl-NL"/>
        </w:rPr>
        <w:t>,</w:t>
      </w:r>
      <w:r w:rsidR="00784B38" w:rsidRPr="00BC74E8">
        <w:rPr>
          <w:rFonts w:asciiTheme="majorHAnsi" w:hAnsiTheme="majorHAnsi" w:cstheme="majorHAnsi"/>
          <w:sz w:val="28"/>
          <w:szCs w:val="28"/>
          <w:lang w:val="nl-NL"/>
        </w:rPr>
        <w:t xml:space="preserve"> Chủ tịch</w:t>
      </w:r>
      <w:r w:rsidR="00004731">
        <w:rPr>
          <w:rFonts w:asciiTheme="majorHAnsi" w:hAnsiTheme="majorHAnsi" w:cstheme="majorHAnsi"/>
          <w:sz w:val="28"/>
          <w:szCs w:val="28"/>
          <w:lang w:val="nl-NL"/>
        </w:rPr>
        <w:t xml:space="preserve"> Hội đồng thành viên</w:t>
      </w:r>
      <w:r w:rsidR="00784B38" w:rsidRPr="00BC74E8">
        <w:rPr>
          <w:rFonts w:asciiTheme="majorHAnsi" w:hAnsiTheme="majorHAnsi" w:cstheme="majorHAnsi"/>
          <w:sz w:val="28"/>
          <w:szCs w:val="28"/>
          <w:lang w:val="nl-NL"/>
        </w:rPr>
        <w:t>,</w:t>
      </w:r>
      <w:r w:rsidR="008C59B6">
        <w:rPr>
          <w:rFonts w:asciiTheme="majorHAnsi" w:hAnsiTheme="majorHAnsi" w:cstheme="majorHAnsi"/>
          <w:sz w:val="28"/>
          <w:szCs w:val="28"/>
          <w:lang w:val="nl-NL"/>
        </w:rPr>
        <w:t xml:space="preserve"> </w:t>
      </w:r>
      <w:r w:rsidR="00A033F2" w:rsidRPr="00BC74E8">
        <w:rPr>
          <w:rFonts w:asciiTheme="majorHAnsi" w:hAnsiTheme="majorHAnsi" w:cstheme="majorHAnsi"/>
          <w:sz w:val="28"/>
          <w:szCs w:val="28"/>
          <w:lang w:val="nl-NL"/>
        </w:rPr>
        <w:t xml:space="preserve">Giám đốc </w:t>
      </w:r>
      <w:r w:rsidR="00FB190D" w:rsidRPr="00BC74E8">
        <w:rPr>
          <w:rFonts w:asciiTheme="majorHAnsi" w:hAnsiTheme="majorHAnsi" w:cstheme="majorHAnsi"/>
          <w:sz w:val="28"/>
          <w:szCs w:val="28"/>
          <w:lang w:val="nl-NL"/>
        </w:rPr>
        <w:t xml:space="preserve">Công ty </w:t>
      </w:r>
      <w:r w:rsidR="00986FB9">
        <w:rPr>
          <w:rFonts w:asciiTheme="majorHAnsi" w:hAnsiTheme="majorHAnsi" w:cstheme="majorHAnsi"/>
          <w:sz w:val="28"/>
          <w:szCs w:val="28"/>
          <w:lang w:val="nl-NL"/>
        </w:rPr>
        <w:t xml:space="preserve">và CBCNV </w:t>
      </w:r>
      <w:r w:rsidRPr="00BC74E8">
        <w:rPr>
          <w:rFonts w:asciiTheme="majorHAnsi" w:hAnsiTheme="majorHAnsi" w:cstheme="majorHAnsi"/>
          <w:sz w:val="28"/>
          <w:szCs w:val="28"/>
          <w:lang w:val="nl-NL"/>
        </w:rPr>
        <w:t xml:space="preserve">đã </w:t>
      </w:r>
      <w:r w:rsidR="009B736B" w:rsidRPr="00BC74E8">
        <w:rPr>
          <w:rFonts w:asciiTheme="majorHAnsi" w:hAnsiTheme="majorHAnsi" w:cstheme="majorHAnsi"/>
          <w:sz w:val="28"/>
          <w:szCs w:val="28"/>
          <w:lang w:val="nl-NL"/>
        </w:rPr>
        <w:t>duy trì sản xuất</w:t>
      </w:r>
      <w:r w:rsidR="00784B38" w:rsidRPr="00BC74E8">
        <w:rPr>
          <w:rFonts w:asciiTheme="majorHAnsi" w:hAnsiTheme="majorHAnsi" w:cstheme="majorHAnsi"/>
          <w:sz w:val="28"/>
          <w:szCs w:val="28"/>
          <w:lang w:val="nl-NL"/>
        </w:rPr>
        <w:t>,</w:t>
      </w:r>
      <w:r w:rsidR="008C59B6">
        <w:rPr>
          <w:rFonts w:asciiTheme="majorHAnsi" w:hAnsiTheme="majorHAnsi" w:cstheme="majorHAnsi"/>
          <w:sz w:val="28"/>
          <w:szCs w:val="28"/>
          <w:lang w:val="nl-NL"/>
        </w:rPr>
        <w:t xml:space="preserve"> </w:t>
      </w:r>
      <w:r w:rsidR="00293A0D" w:rsidRPr="00BC74E8">
        <w:rPr>
          <w:rFonts w:asciiTheme="majorHAnsi" w:hAnsiTheme="majorHAnsi" w:cstheme="majorHAnsi"/>
          <w:sz w:val="28"/>
          <w:szCs w:val="28"/>
          <w:lang w:val="nl-NL"/>
        </w:rPr>
        <w:t>tạo việc làm</w:t>
      </w:r>
      <w:r w:rsidR="008C59B6">
        <w:rPr>
          <w:rFonts w:asciiTheme="majorHAnsi" w:hAnsiTheme="majorHAnsi" w:cstheme="majorHAnsi"/>
          <w:sz w:val="28"/>
          <w:szCs w:val="28"/>
          <w:lang w:val="nl-NL"/>
        </w:rPr>
        <w:t xml:space="preserve"> </w:t>
      </w:r>
      <w:r w:rsidR="00293A0D" w:rsidRPr="00BC74E8">
        <w:rPr>
          <w:rFonts w:asciiTheme="majorHAnsi" w:hAnsiTheme="majorHAnsi" w:cstheme="majorHAnsi"/>
          <w:sz w:val="28"/>
          <w:szCs w:val="28"/>
          <w:lang w:val="nl-NL"/>
        </w:rPr>
        <w:t xml:space="preserve">và thu nhập </w:t>
      </w:r>
      <w:r w:rsidR="009B736B" w:rsidRPr="00BC74E8">
        <w:rPr>
          <w:rFonts w:asciiTheme="majorHAnsi" w:hAnsiTheme="majorHAnsi" w:cstheme="majorHAnsi"/>
          <w:sz w:val="28"/>
          <w:szCs w:val="28"/>
          <w:lang w:val="nl-NL"/>
        </w:rPr>
        <w:t>khá</w:t>
      </w:r>
      <w:r w:rsidR="008C59B6">
        <w:rPr>
          <w:rFonts w:asciiTheme="majorHAnsi" w:hAnsiTheme="majorHAnsi" w:cstheme="majorHAnsi"/>
          <w:sz w:val="28"/>
          <w:szCs w:val="28"/>
          <w:lang w:val="nl-NL"/>
        </w:rPr>
        <w:t xml:space="preserve"> </w:t>
      </w:r>
      <w:r w:rsidR="009B736B" w:rsidRPr="00BC74E8">
        <w:rPr>
          <w:rFonts w:asciiTheme="majorHAnsi" w:hAnsiTheme="majorHAnsi" w:cstheme="majorHAnsi"/>
          <w:sz w:val="28"/>
          <w:szCs w:val="28"/>
          <w:lang w:val="nl-NL"/>
        </w:rPr>
        <w:t xml:space="preserve">cao </w:t>
      </w:r>
      <w:r w:rsidR="00293A0D" w:rsidRPr="00BC74E8">
        <w:rPr>
          <w:rFonts w:asciiTheme="majorHAnsi" w:hAnsiTheme="majorHAnsi" w:cstheme="majorHAnsi"/>
          <w:sz w:val="28"/>
          <w:szCs w:val="28"/>
          <w:lang w:val="nl-NL"/>
        </w:rPr>
        <w:t xml:space="preserve">cho </w:t>
      </w:r>
      <w:r w:rsidR="00784B38" w:rsidRPr="00BC74E8">
        <w:rPr>
          <w:rFonts w:asciiTheme="majorHAnsi" w:hAnsiTheme="majorHAnsi" w:cstheme="majorHAnsi"/>
          <w:sz w:val="28"/>
          <w:szCs w:val="28"/>
          <w:lang w:val="nl-NL"/>
        </w:rPr>
        <w:t xml:space="preserve">hơn </w:t>
      </w:r>
      <w:r w:rsidR="009B736B" w:rsidRPr="00BC74E8">
        <w:rPr>
          <w:rFonts w:asciiTheme="majorHAnsi" w:hAnsiTheme="majorHAnsi" w:cstheme="majorHAnsi"/>
          <w:sz w:val="28"/>
          <w:szCs w:val="28"/>
          <w:lang w:val="nl-NL"/>
        </w:rPr>
        <w:t xml:space="preserve">114 </w:t>
      </w:r>
      <w:r w:rsidR="00293A0D" w:rsidRPr="00BC74E8">
        <w:rPr>
          <w:rFonts w:asciiTheme="majorHAnsi" w:hAnsiTheme="majorHAnsi" w:cstheme="majorHAnsi"/>
          <w:sz w:val="28"/>
          <w:szCs w:val="28"/>
          <w:lang w:val="nl-NL"/>
        </w:rPr>
        <w:t>lao động,</w:t>
      </w:r>
      <w:r w:rsidR="009734CF">
        <w:rPr>
          <w:rFonts w:asciiTheme="majorHAnsi" w:hAnsiTheme="majorHAnsi" w:cstheme="majorHAnsi"/>
          <w:sz w:val="28"/>
          <w:szCs w:val="28"/>
          <w:lang w:val="nl-NL"/>
        </w:rPr>
        <w:t xml:space="preserve"> </w:t>
      </w:r>
      <w:r w:rsidR="009B736B" w:rsidRPr="00BC74E8">
        <w:rPr>
          <w:rFonts w:asciiTheme="majorHAnsi" w:hAnsiTheme="majorHAnsi" w:cstheme="majorHAnsi"/>
          <w:sz w:val="28"/>
          <w:szCs w:val="28"/>
          <w:lang w:val="nl-NL"/>
        </w:rPr>
        <w:t xml:space="preserve">cung cấp </w:t>
      </w:r>
      <w:r w:rsidR="009734CF">
        <w:rPr>
          <w:rFonts w:asciiTheme="majorHAnsi" w:hAnsiTheme="majorHAnsi" w:cstheme="majorHAnsi"/>
          <w:sz w:val="28"/>
          <w:szCs w:val="28"/>
          <w:lang w:val="nl-NL"/>
        </w:rPr>
        <w:t>nguyên liệu men bia</w:t>
      </w:r>
      <w:r w:rsidR="007E5917" w:rsidRPr="00BC74E8">
        <w:rPr>
          <w:rFonts w:asciiTheme="majorHAnsi" w:hAnsiTheme="majorHAnsi" w:cstheme="majorHAnsi"/>
          <w:sz w:val="28"/>
          <w:szCs w:val="28"/>
          <w:lang w:val="nl-NL"/>
        </w:rPr>
        <w:t xml:space="preserve"> cho</w:t>
      </w:r>
      <w:r w:rsidR="009B736B" w:rsidRPr="00BC74E8">
        <w:rPr>
          <w:rFonts w:asciiTheme="majorHAnsi" w:hAnsiTheme="majorHAnsi" w:cstheme="majorHAnsi"/>
          <w:sz w:val="28"/>
          <w:szCs w:val="28"/>
          <w:lang w:val="nl-NL"/>
        </w:rPr>
        <w:t xml:space="preserve"> một số doanh nghiệp,</w:t>
      </w:r>
      <w:r w:rsidR="009734CF">
        <w:rPr>
          <w:rFonts w:asciiTheme="majorHAnsi" w:hAnsiTheme="majorHAnsi" w:cstheme="majorHAnsi"/>
          <w:sz w:val="28"/>
          <w:szCs w:val="28"/>
          <w:lang w:val="nl-NL"/>
        </w:rPr>
        <w:t xml:space="preserve"> thuê các doanh nghiệp khác các dịch vụ như: Vệ sinh, bảo vệ, ...đã</w:t>
      </w:r>
      <w:r w:rsidR="009B736B" w:rsidRPr="00BC74E8">
        <w:rPr>
          <w:rFonts w:asciiTheme="majorHAnsi" w:hAnsiTheme="majorHAnsi" w:cstheme="majorHAnsi"/>
          <w:sz w:val="28"/>
          <w:szCs w:val="28"/>
          <w:lang w:val="nl-NL"/>
        </w:rPr>
        <w:t xml:space="preserve"> gián tiếp tạo việc làm cho </w:t>
      </w:r>
      <w:r w:rsidR="00CE3035">
        <w:rPr>
          <w:rFonts w:asciiTheme="majorHAnsi" w:hAnsiTheme="majorHAnsi" w:cstheme="majorHAnsi"/>
          <w:sz w:val="28"/>
          <w:szCs w:val="28"/>
          <w:lang w:val="nl-NL"/>
        </w:rPr>
        <w:t>nhiều</w:t>
      </w:r>
      <w:r w:rsidR="008C59B6">
        <w:rPr>
          <w:rFonts w:asciiTheme="majorHAnsi" w:hAnsiTheme="majorHAnsi" w:cstheme="majorHAnsi"/>
          <w:sz w:val="28"/>
          <w:szCs w:val="28"/>
          <w:lang w:val="nl-NL"/>
        </w:rPr>
        <w:t xml:space="preserve"> </w:t>
      </w:r>
      <w:r w:rsidR="007E5917" w:rsidRPr="00BC74E8">
        <w:rPr>
          <w:rFonts w:asciiTheme="majorHAnsi" w:hAnsiTheme="majorHAnsi" w:cstheme="majorHAnsi"/>
          <w:sz w:val="28"/>
          <w:szCs w:val="28"/>
          <w:lang w:val="nl-NL"/>
        </w:rPr>
        <w:t>lao động</w:t>
      </w:r>
      <w:r w:rsidR="00724DDB">
        <w:rPr>
          <w:rFonts w:asciiTheme="majorHAnsi" w:hAnsiTheme="majorHAnsi" w:cstheme="majorHAnsi"/>
          <w:sz w:val="28"/>
          <w:szCs w:val="28"/>
          <w:lang w:val="nl-NL"/>
        </w:rPr>
        <w:t xml:space="preserve"> khác</w:t>
      </w:r>
      <w:r w:rsidR="003C4A40" w:rsidRPr="00BC74E8">
        <w:rPr>
          <w:rFonts w:asciiTheme="majorHAnsi" w:hAnsiTheme="majorHAnsi" w:cstheme="majorHAnsi"/>
          <w:sz w:val="28"/>
          <w:szCs w:val="28"/>
          <w:lang w:val="nl-NL"/>
        </w:rPr>
        <w:t xml:space="preserve">, </w:t>
      </w:r>
      <w:r w:rsidR="00293A0D" w:rsidRPr="00BC74E8">
        <w:rPr>
          <w:rFonts w:asciiTheme="majorHAnsi" w:hAnsiTheme="majorHAnsi" w:cstheme="majorHAnsi"/>
          <w:sz w:val="28"/>
          <w:szCs w:val="28"/>
          <w:lang w:val="nl-NL"/>
        </w:rPr>
        <w:t xml:space="preserve">góp phần </w:t>
      </w:r>
      <w:r w:rsidR="009B736B" w:rsidRPr="00BC74E8">
        <w:rPr>
          <w:rFonts w:asciiTheme="majorHAnsi" w:hAnsiTheme="majorHAnsi" w:cstheme="majorHAnsi"/>
          <w:sz w:val="28"/>
          <w:szCs w:val="28"/>
          <w:lang w:val="nl-NL"/>
        </w:rPr>
        <w:t xml:space="preserve">đáng kể </w:t>
      </w:r>
      <w:r w:rsidR="00293A0D" w:rsidRPr="00BC74E8">
        <w:rPr>
          <w:rFonts w:asciiTheme="majorHAnsi" w:hAnsiTheme="majorHAnsi" w:cstheme="majorHAnsi"/>
          <w:sz w:val="28"/>
          <w:szCs w:val="28"/>
          <w:lang w:val="nl-NL"/>
        </w:rPr>
        <w:t>v</w:t>
      </w:r>
      <w:r w:rsidR="0011780C" w:rsidRPr="00BC74E8">
        <w:rPr>
          <w:rFonts w:asciiTheme="majorHAnsi" w:hAnsiTheme="majorHAnsi" w:cstheme="majorHAnsi"/>
          <w:sz w:val="28"/>
          <w:szCs w:val="28"/>
          <w:lang w:val="nl-NL"/>
        </w:rPr>
        <w:t xml:space="preserve">ào sự </w:t>
      </w:r>
      <w:r w:rsidR="00FF7044" w:rsidRPr="00BC74E8">
        <w:rPr>
          <w:rFonts w:asciiTheme="majorHAnsi" w:hAnsiTheme="majorHAnsi" w:cstheme="majorHAnsi"/>
          <w:sz w:val="28"/>
          <w:szCs w:val="28"/>
          <w:lang w:val="nl-NL"/>
        </w:rPr>
        <w:t xml:space="preserve">ổn định, </w:t>
      </w:r>
      <w:r w:rsidR="0011780C" w:rsidRPr="00BC74E8">
        <w:rPr>
          <w:rFonts w:asciiTheme="majorHAnsi" w:hAnsiTheme="majorHAnsi" w:cstheme="majorHAnsi"/>
          <w:sz w:val="28"/>
          <w:szCs w:val="28"/>
          <w:lang w:val="nl-NL"/>
        </w:rPr>
        <w:t>phát triển kinh tế xã hội</w:t>
      </w:r>
      <w:r w:rsidR="00BC6663" w:rsidRPr="00BC74E8">
        <w:rPr>
          <w:rFonts w:asciiTheme="majorHAnsi" w:hAnsiTheme="majorHAnsi" w:cstheme="majorHAnsi"/>
          <w:sz w:val="28"/>
          <w:szCs w:val="28"/>
          <w:lang w:val="nl-NL"/>
        </w:rPr>
        <w:t xml:space="preserve"> chung của tỉnh</w:t>
      </w:r>
      <w:r w:rsidR="00CE3035">
        <w:rPr>
          <w:rFonts w:asciiTheme="majorHAnsi" w:hAnsiTheme="majorHAnsi" w:cstheme="majorHAnsi"/>
          <w:sz w:val="28"/>
          <w:szCs w:val="28"/>
          <w:lang w:val="nl-NL"/>
        </w:rPr>
        <w:t xml:space="preserve"> Hà Tĩnh</w:t>
      </w:r>
      <w:r w:rsidR="00A61C60" w:rsidRPr="00BC74E8">
        <w:rPr>
          <w:rFonts w:asciiTheme="majorHAnsi" w:hAnsiTheme="majorHAnsi" w:cstheme="majorHAnsi"/>
          <w:sz w:val="28"/>
          <w:szCs w:val="28"/>
          <w:lang w:val="nl-NL"/>
        </w:rPr>
        <w:t xml:space="preserve">. </w:t>
      </w:r>
      <w:r w:rsidR="0011780C" w:rsidRPr="00BC74E8">
        <w:rPr>
          <w:rFonts w:asciiTheme="majorHAnsi" w:hAnsiTheme="majorHAnsi" w:cstheme="majorHAnsi"/>
          <w:sz w:val="28"/>
          <w:szCs w:val="28"/>
          <w:lang w:val="nl-NL"/>
        </w:rPr>
        <w:t>Trong năm</w:t>
      </w:r>
      <w:r w:rsidR="00BC6663" w:rsidRPr="00BC74E8">
        <w:rPr>
          <w:rFonts w:asciiTheme="majorHAnsi" w:hAnsiTheme="majorHAnsi" w:cstheme="majorHAnsi"/>
          <w:sz w:val="28"/>
          <w:szCs w:val="28"/>
          <w:lang w:val="nl-NL"/>
        </w:rPr>
        <w:t xml:space="preserve"> 2020</w:t>
      </w:r>
      <w:r w:rsidR="00DB3ED4" w:rsidRPr="00BC74E8">
        <w:rPr>
          <w:rFonts w:asciiTheme="majorHAnsi" w:hAnsiTheme="majorHAnsi" w:cstheme="majorHAnsi"/>
          <w:sz w:val="28"/>
          <w:szCs w:val="28"/>
          <w:lang w:val="nl-NL"/>
        </w:rPr>
        <w:t xml:space="preserve">, </w:t>
      </w:r>
      <w:r w:rsidR="009B736B" w:rsidRPr="00BC74E8">
        <w:rPr>
          <w:rFonts w:asciiTheme="majorHAnsi" w:hAnsiTheme="majorHAnsi" w:cstheme="majorHAnsi"/>
          <w:sz w:val="28"/>
          <w:szCs w:val="28"/>
          <w:lang w:val="nl-NL"/>
        </w:rPr>
        <w:t xml:space="preserve">mặc dù doanh thu giảm </w:t>
      </w:r>
      <w:r w:rsidR="009B736B" w:rsidRPr="00B701D5">
        <w:rPr>
          <w:rFonts w:asciiTheme="majorHAnsi" w:hAnsiTheme="majorHAnsi" w:cstheme="majorHAnsi"/>
          <w:color w:val="000000"/>
          <w:sz w:val="28"/>
          <w:szCs w:val="28"/>
          <w:lang w:val="nl-NL"/>
        </w:rPr>
        <w:t xml:space="preserve">105,3 tỷ đồng (16,45%) so với năm 2019 </w:t>
      </w:r>
      <w:r w:rsidR="009B736B" w:rsidRPr="00BC74E8">
        <w:rPr>
          <w:rFonts w:asciiTheme="majorHAnsi" w:hAnsiTheme="majorHAnsi" w:cstheme="majorHAnsi"/>
          <w:sz w:val="28"/>
          <w:szCs w:val="28"/>
          <w:lang w:val="nl-NL"/>
        </w:rPr>
        <w:t xml:space="preserve">nhưng </w:t>
      </w:r>
      <w:r w:rsidR="003C4A40" w:rsidRPr="00BC74E8">
        <w:rPr>
          <w:rFonts w:asciiTheme="majorHAnsi" w:hAnsiTheme="majorHAnsi" w:cstheme="majorHAnsi"/>
          <w:sz w:val="28"/>
          <w:szCs w:val="28"/>
          <w:lang w:val="nl-NL"/>
        </w:rPr>
        <w:t>kết quả</w:t>
      </w:r>
      <w:r w:rsidR="003860B7" w:rsidRPr="00BC74E8">
        <w:rPr>
          <w:rFonts w:asciiTheme="majorHAnsi" w:hAnsiTheme="majorHAnsi" w:cstheme="majorHAnsi"/>
          <w:sz w:val="28"/>
          <w:szCs w:val="28"/>
          <w:lang w:val="nl-NL"/>
        </w:rPr>
        <w:t xml:space="preserve"> hoạt động </w:t>
      </w:r>
      <w:r w:rsidR="00FF7044" w:rsidRPr="00BC74E8">
        <w:rPr>
          <w:rFonts w:asciiTheme="majorHAnsi" w:hAnsiTheme="majorHAnsi" w:cstheme="majorHAnsi"/>
          <w:sz w:val="28"/>
          <w:szCs w:val="28"/>
          <w:lang w:val="nl-NL"/>
        </w:rPr>
        <w:t xml:space="preserve">kinh doanh </w:t>
      </w:r>
      <w:r w:rsidR="00CE3035">
        <w:rPr>
          <w:rFonts w:asciiTheme="majorHAnsi" w:hAnsiTheme="majorHAnsi" w:cstheme="majorHAnsi"/>
          <w:sz w:val="28"/>
          <w:szCs w:val="28"/>
          <w:lang w:val="nl-NL"/>
        </w:rPr>
        <w:t xml:space="preserve">vẫn </w:t>
      </w:r>
      <w:r w:rsidR="00B21E3A">
        <w:rPr>
          <w:rFonts w:asciiTheme="majorHAnsi" w:hAnsiTheme="majorHAnsi" w:cstheme="majorHAnsi"/>
          <w:sz w:val="28"/>
          <w:szCs w:val="28"/>
          <w:lang w:val="nl-NL"/>
        </w:rPr>
        <w:t>đạt mức lợi nhuận cao</w:t>
      </w:r>
      <w:r w:rsidR="009734CF">
        <w:rPr>
          <w:rFonts w:asciiTheme="majorHAnsi" w:hAnsiTheme="majorHAnsi" w:cstheme="majorHAnsi"/>
          <w:sz w:val="28"/>
          <w:szCs w:val="28"/>
          <w:lang w:val="nl-NL"/>
        </w:rPr>
        <w:t xml:space="preserve"> </w:t>
      </w:r>
      <w:r w:rsidR="00CE3035">
        <w:rPr>
          <w:rFonts w:asciiTheme="majorHAnsi" w:hAnsiTheme="majorHAnsi" w:cstheme="majorHAnsi"/>
          <w:sz w:val="28"/>
          <w:szCs w:val="28"/>
          <w:lang w:val="nl-NL"/>
        </w:rPr>
        <w:t>(</w:t>
      </w:r>
      <w:r w:rsidR="00B21E3A">
        <w:rPr>
          <w:rFonts w:asciiTheme="majorHAnsi" w:hAnsiTheme="majorHAnsi" w:cstheme="majorHAnsi"/>
          <w:sz w:val="28"/>
          <w:szCs w:val="28"/>
          <w:lang w:val="nl-NL"/>
        </w:rPr>
        <w:t>51,8%</w:t>
      </w:r>
      <w:r w:rsidR="00CE3035">
        <w:rPr>
          <w:rFonts w:asciiTheme="majorHAnsi" w:hAnsiTheme="majorHAnsi" w:cstheme="majorHAnsi"/>
          <w:sz w:val="28"/>
          <w:szCs w:val="28"/>
          <w:lang w:val="nl-NL"/>
        </w:rPr>
        <w:t>)</w:t>
      </w:r>
      <w:r w:rsidR="00B21E3A">
        <w:rPr>
          <w:rFonts w:asciiTheme="majorHAnsi" w:hAnsiTheme="majorHAnsi" w:cstheme="majorHAnsi"/>
          <w:sz w:val="28"/>
          <w:szCs w:val="28"/>
          <w:lang w:val="nl-NL"/>
        </w:rPr>
        <w:t xml:space="preserve"> vốn điều lệ; </w:t>
      </w:r>
      <w:r w:rsidRPr="00BC74E8">
        <w:rPr>
          <w:rFonts w:asciiTheme="majorHAnsi" w:hAnsiTheme="majorHAnsi" w:cstheme="majorHAnsi"/>
          <w:sz w:val="28"/>
          <w:szCs w:val="28"/>
          <w:lang w:val="nl-NL"/>
        </w:rPr>
        <w:t xml:space="preserve">đóng góp </w:t>
      </w:r>
      <w:r w:rsidR="00B21E3A">
        <w:rPr>
          <w:rFonts w:asciiTheme="majorHAnsi" w:hAnsiTheme="majorHAnsi" w:cstheme="majorHAnsi"/>
          <w:sz w:val="28"/>
          <w:szCs w:val="28"/>
          <w:lang w:val="nl-NL"/>
        </w:rPr>
        <w:t>lớn</w:t>
      </w:r>
      <w:r w:rsidR="008C59B6">
        <w:rPr>
          <w:rFonts w:asciiTheme="majorHAnsi" w:hAnsiTheme="majorHAnsi" w:cstheme="majorHAnsi"/>
          <w:sz w:val="28"/>
          <w:szCs w:val="28"/>
          <w:lang w:val="nl-NL"/>
        </w:rPr>
        <w:t xml:space="preserve"> </w:t>
      </w:r>
      <w:r w:rsidR="007B0271" w:rsidRPr="00BC74E8">
        <w:rPr>
          <w:rFonts w:asciiTheme="majorHAnsi" w:hAnsiTheme="majorHAnsi" w:cstheme="majorHAnsi"/>
          <w:sz w:val="28"/>
          <w:szCs w:val="28"/>
          <w:lang w:val="nl-NL"/>
        </w:rPr>
        <w:t xml:space="preserve">vào </w:t>
      </w:r>
      <w:r w:rsidRPr="00BC74E8">
        <w:rPr>
          <w:rFonts w:asciiTheme="majorHAnsi" w:hAnsiTheme="majorHAnsi" w:cstheme="majorHAnsi"/>
          <w:sz w:val="28"/>
          <w:szCs w:val="28"/>
          <w:lang w:val="nl-NL"/>
        </w:rPr>
        <w:t xml:space="preserve">nguồn thu </w:t>
      </w:r>
      <w:r w:rsidR="0065187A" w:rsidRPr="00BC74E8">
        <w:rPr>
          <w:rFonts w:asciiTheme="majorHAnsi" w:hAnsiTheme="majorHAnsi" w:cstheme="majorHAnsi"/>
          <w:sz w:val="28"/>
          <w:szCs w:val="28"/>
          <w:lang w:val="nl-NL"/>
        </w:rPr>
        <w:t>ngân sách trên địa bàn</w:t>
      </w:r>
      <w:r w:rsidR="008C59B6">
        <w:rPr>
          <w:rFonts w:asciiTheme="majorHAnsi" w:hAnsiTheme="majorHAnsi" w:cstheme="majorHAnsi"/>
          <w:sz w:val="28"/>
          <w:szCs w:val="28"/>
          <w:lang w:val="nl-NL"/>
        </w:rPr>
        <w:t xml:space="preserve"> </w:t>
      </w:r>
      <w:r w:rsidR="00986FB9">
        <w:rPr>
          <w:rFonts w:asciiTheme="majorHAnsi" w:hAnsiTheme="majorHAnsi" w:cstheme="majorHAnsi"/>
          <w:sz w:val="28"/>
          <w:szCs w:val="28"/>
          <w:lang w:val="nl-NL"/>
        </w:rPr>
        <w:t xml:space="preserve">tỉnh </w:t>
      </w:r>
      <w:r w:rsidR="00964E1F" w:rsidRPr="00BC74E8">
        <w:rPr>
          <w:rFonts w:asciiTheme="majorHAnsi" w:hAnsiTheme="majorHAnsi" w:cstheme="majorHAnsi"/>
          <w:sz w:val="28"/>
          <w:szCs w:val="28"/>
          <w:lang w:val="nl-NL"/>
        </w:rPr>
        <w:t>(năm 2020</w:t>
      </w:r>
      <w:r w:rsidRPr="00BC74E8">
        <w:rPr>
          <w:rFonts w:asciiTheme="majorHAnsi" w:hAnsiTheme="majorHAnsi" w:cstheme="majorHAnsi"/>
          <w:sz w:val="28"/>
          <w:szCs w:val="28"/>
          <w:lang w:val="nl-NL"/>
        </w:rPr>
        <w:t xml:space="preserve">, </w:t>
      </w:r>
      <w:r w:rsidR="00366E29" w:rsidRPr="00BC74E8">
        <w:rPr>
          <w:rFonts w:asciiTheme="majorHAnsi" w:hAnsiTheme="majorHAnsi" w:cstheme="majorHAnsi"/>
          <w:sz w:val="28"/>
          <w:szCs w:val="28"/>
          <w:lang w:val="nl-NL"/>
        </w:rPr>
        <w:t>đã</w:t>
      </w:r>
      <w:r w:rsidRPr="00BC74E8">
        <w:rPr>
          <w:rFonts w:asciiTheme="majorHAnsi" w:hAnsiTheme="majorHAnsi" w:cstheme="majorHAnsi"/>
          <w:sz w:val="28"/>
          <w:szCs w:val="28"/>
          <w:lang w:val="nl-NL"/>
        </w:rPr>
        <w:t xml:space="preserve"> nộp ngân sách số tiền </w:t>
      </w:r>
      <w:r w:rsidR="009B736B" w:rsidRPr="00B701D5">
        <w:rPr>
          <w:rFonts w:asciiTheme="majorHAnsi" w:hAnsiTheme="majorHAnsi" w:cstheme="majorHAnsi"/>
          <w:bCs/>
          <w:iCs/>
          <w:color w:val="000000"/>
          <w:sz w:val="28"/>
          <w:szCs w:val="28"/>
          <w:lang w:val="nl-NL"/>
        </w:rPr>
        <w:t xml:space="preserve">558.653.543.810 </w:t>
      </w:r>
      <w:r w:rsidRPr="00BC74E8">
        <w:rPr>
          <w:rFonts w:asciiTheme="majorHAnsi" w:hAnsiTheme="majorHAnsi" w:cstheme="majorHAnsi"/>
          <w:sz w:val="28"/>
          <w:szCs w:val="28"/>
          <w:lang w:val="nl-NL"/>
        </w:rPr>
        <w:t>đồng)</w:t>
      </w:r>
      <w:r w:rsidR="00986FB9">
        <w:rPr>
          <w:rFonts w:asciiTheme="majorHAnsi" w:hAnsiTheme="majorHAnsi" w:cstheme="majorHAnsi"/>
          <w:sz w:val="28"/>
          <w:szCs w:val="28"/>
          <w:lang w:val="nl-NL"/>
        </w:rPr>
        <w:t>, nhiều năm</w:t>
      </w:r>
      <w:r w:rsidR="008C59B6">
        <w:rPr>
          <w:rFonts w:asciiTheme="majorHAnsi" w:hAnsiTheme="majorHAnsi" w:cstheme="majorHAnsi"/>
          <w:sz w:val="28"/>
          <w:szCs w:val="28"/>
          <w:lang w:val="nl-NL"/>
        </w:rPr>
        <w:t xml:space="preserve"> </w:t>
      </w:r>
      <w:r w:rsidR="00724DDB">
        <w:rPr>
          <w:rFonts w:asciiTheme="majorHAnsi" w:hAnsiTheme="majorHAnsi" w:cstheme="majorHAnsi"/>
          <w:sz w:val="28"/>
          <w:szCs w:val="28"/>
          <w:lang w:val="nl-NL"/>
        </w:rPr>
        <w:t xml:space="preserve">liền </w:t>
      </w:r>
      <w:r w:rsidR="00986FB9">
        <w:rPr>
          <w:rFonts w:asciiTheme="majorHAnsi" w:hAnsiTheme="majorHAnsi" w:cstheme="majorHAnsi"/>
          <w:sz w:val="28"/>
          <w:szCs w:val="28"/>
          <w:lang w:val="nl-NL"/>
        </w:rPr>
        <w:t>được vinh danh là doanh nghiệp tiêu biểu của tỉnh</w:t>
      </w:r>
      <w:r w:rsidR="00004731">
        <w:rPr>
          <w:rFonts w:asciiTheme="majorHAnsi" w:hAnsiTheme="majorHAnsi" w:cstheme="majorHAnsi"/>
          <w:sz w:val="28"/>
          <w:szCs w:val="28"/>
          <w:lang w:val="nl-NL"/>
        </w:rPr>
        <w:t xml:space="preserve"> Hà Tĩnh</w:t>
      </w:r>
      <w:r w:rsidR="00986FB9">
        <w:rPr>
          <w:rFonts w:asciiTheme="majorHAnsi" w:hAnsiTheme="majorHAnsi" w:cstheme="majorHAnsi"/>
          <w:sz w:val="28"/>
          <w:szCs w:val="28"/>
          <w:lang w:val="nl-NL"/>
        </w:rPr>
        <w:t>, được các cấp t</w:t>
      </w:r>
      <w:r w:rsidR="00004731">
        <w:rPr>
          <w:rFonts w:asciiTheme="majorHAnsi" w:hAnsiTheme="majorHAnsi" w:cstheme="majorHAnsi"/>
          <w:sz w:val="28"/>
          <w:szCs w:val="28"/>
          <w:lang w:val="nl-NL"/>
        </w:rPr>
        <w:t>ặ</w:t>
      </w:r>
      <w:r w:rsidR="00986FB9">
        <w:rPr>
          <w:rFonts w:asciiTheme="majorHAnsi" w:hAnsiTheme="majorHAnsi" w:cstheme="majorHAnsi"/>
          <w:sz w:val="28"/>
          <w:szCs w:val="28"/>
          <w:lang w:val="nl-NL"/>
        </w:rPr>
        <w:t xml:space="preserve">ng nhiều </w:t>
      </w:r>
      <w:r w:rsidR="009734CF">
        <w:rPr>
          <w:rFonts w:asciiTheme="majorHAnsi" w:hAnsiTheme="majorHAnsi" w:cstheme="majorHAnsi"/>
          <w:sz w:val="28"/>
          <w:szCs w:val="28"/>
          <w:lang w:val="nl-NL"/>
        </w:rPr>
        <w:t>b</w:t>
      </w:r>
      <w:r w:rsidR="00986FB9">
        <w:rPr>
          <w:rFonts w:asciiTheme="majorHAnsi" w:hAnsiTheme="majorHAnsi" w:cstheme="majorHAnsi"/>
          <w:sz w:val="28"/>
          <w:szCs w:val="28"/>
          <w:lang w:val="nl-NL"/>
        </w:rPr>
        <w:t xml:space="preserve">ằng khen </w:t>
      </w:r>
      <w:r w:rsidR="00724DDB">
        <w:rPr>
          <w:rFonts w:asciiTheme="majorHAnsi" w:hAnsiTheme="majorHAnsi" w:cstheme="majorHAnsi"/>
          <w:sz w:val="28"/>
          <w:szCs w:val="28"/>
          <w:lang w:val="nl-NL"/>
        </w:rPr>
        <w:t>do có</w:t>
      </w:r>
      <w:r w:rsidR="00986FB9">
        <w:rPr>
          <w:rFonts w:asciiTheme="majorHAnsi" w:hAnsiTheme="majorHAnsi" w:cstheme="majorHAnsi"/>
          <w:sz w:val="28"/>
          <w:szCs w:val="28"/>
          <w:lang w:val="nl-NL"/>
        </w:rPr>
        <w:t xml:space="preserve"> thành tích nộp thuế cao</w:t>
      </w:r>
      <w:r w:rsidRPr="00BC74E8">
        <w:rPr>
          <w:rFonts w:asciiTheme="majorHAnsi" w:hAnsiTheme="majorHAnsi" w:cstheme="majorHAnsi"/>
          <w:sz w:val="28"/>
          <w:szCs w:val="28"/>
          <w:lang w:val="nl-NL"/>
        </w:rPr>
        <w:t>.</w:t>
      </w:r>
    </w:p>
    <w:p w:rsidR="00402501" w:rsidRDefault="002F4C2D" w:rsidP="000D7E6B">
      <w:pPr>
        <w:spacing w:after="120"/>
        <w:ind w:firstLine="567"/>
        <w:jc w:val="both"/>
        <w:rPr>
          <w:sz w:val="28"/>
          <w:szCs w:val="28"/>
          <w:lang w:val="nl-NL"/>
        </w:rPr>
      </w:pPr>
      <w:r w:rsidRPr="00F05255">
        <w:rPr>
          <w:sz w:val="28"/>
          <w:szCs w:val="28"/>
          <w:lang w:val="nl-NL"/>
        </w:rPr>
        <w:t>- Tổ chức bộ máy</w:t>
      </w:r>
      <w:r w:rsidR="00DC7C2A">
        <w:rPr>
          <w:sz w:val="28"/>
          <w:szCs w:val="28"/>
          <w:lang w:val="nl-NL"/>
        </w:rPr>
        <w:t xml:space="preserve"> </w:t>
      </w:r>
      <w:r w:rsidRPr="00F05255">
        <w:rPr>
          <w:sz w:val="28"/>
          <w:szCs w:val="28"/>
          <w:lang w:val="nl-NL"/>
        </w:rPr>
        <w:t>phù hợp với quy mô sản xuất và loại hình hoạt động của doanh nghiệp.</w:t>
      </w:r>
      <w:r w:rsidR="008C59B6">
        <w:rPr>
          <w:sz w:val="28"/>
          <w:szCs w:val="28"/>
          <w:lang w:val="nl-NL"/>
        </w:rPr>
        <w:t xml:space="preserve"> </w:t>
      </w:r>
      <w:r w:rsidR="002844B3">
        <w:rPr>
          <w:sz w:val="28"/>
          <w:szCs w:val="28"/>
          <w:lang w:val="nl-NL"/>
        </w:rPr>
        <w:t>Bộ phận k</w:t>
      </w:r>
      <w:r w:rsidR="007E5917">
        <w:rPr>
          <w:sz w:val="28"/>
          <w:szCs w:val="28"/>
          <w:lang w:val="nl-NL"/>
        </w:rPr>
        <w:t>ế toán đã</w:t>
      </w:r>
      <w:r w:rsidR="008C59B6">
        <w:rPr>
          <w:sz w:val="28"/>
          <w:szCs w:val="28"/>
          <w:lang w:val="nl-NL"/>
        </w:rPr>
        <w:t xml:space="preserve"> </w:t>
      </w:r>
      <w:r w:rsidR="007E5917">
        <w:rPr>
          <w:sz w:val="28"/>
          <w:szCs w:val="28"/>
          <w:lang w:val="nl-NL"/>
        </w:rPr>
        <w:t>t</w:t>
      </w:r>
      <w:r w:rsidRPr="00F05255">
        <w:rPr>
          <w:sz w:val="28"/>
          <w:szCs w:val="28"/>
          <w:lang w:val="nl-NL"/>
        </w:rPr>
        <w:t xml:space="preserve">hực hiện mở </w:t>
      </w:r>
      <w:r w:rsidR="007E5917" w:rsidRPr="00F05255">
        <w:rPr>
          <w:sz w:val="28"/>
          <w:szCs w:val="28"/>
          <w:lang w:val="nl-NL"/>
        </w:rPr>
        <w:t xml:space="preserve">đầy đủ </w:t>
      </w:r>
      <w:r w:rsidRPr="00F05255">
        <w:rPr>
          <w:sz w:val="28"/>
          <w:szCs w:val="28"/>
          <w:lang w:val="nl-NL"/>
        </w:rPr>
        <w:t>các loại sổ sách kế toán để theo dõi các nghiệp vụ phát sinh trong quá trình hoạt động sản xuất kinh doanh. B</w:t>
      </w:r>
      <w:r w:rsidRPr="00F05255">
        <w:rPr>
          <w:sz w:val="28"/>
          <w:szCs w:val="28"/>
          <w:lang w:val="vi-VN"/>
        </w:rPr>
        <w:t>áo cáo tài chính được lập đảm bảo nội dung, thời gian quy định</w:t>
      </w:r>
      <w:r w:rsidR="00402501" w:rsidRPr="000D7E6B">
        <w:rPr>
          <w:sz w:val="28"/>
          <w:szCs w:val="28"/>
          <w:lang w:val="nl-NL"/>
        </w:rPr>
        <w:t>;</w:t>
      </w:r>
      <w:r w:rsidR="008C59B6">
        <w:rPr>
          <w:sz w:val="28"/>
          <w:szCs w:val="28"/>
          <w:lang w:val="nl-NL"/>
        </w:rPr>
        <w:t xml:space="preserve"> </w:t>
      </w:r>
      <w:r w:rsidR="00724DDB">
        <w:rPr>
          <w:sz w:val="28"/>
          <w:szCs w:val="28"/>
          <w:lang w:val="nl-NL"/>
        </w:rPr>
        <w:t>t</w:t>
      </w:r>
      <w:r w:rsidR="00724DDB" w:rsidRPr="00F05255">
        <w:rPr>
          <w:sz w:val="28"/>
          <w:szCs w:val="28"/>
          <w:lang w:val="nl-NL"/>
        </w:rPr>
        <w:t>hực hiện hạch toán kế toán các nghiệp vụ kinh tế theo chuẩn mực kế toán</w:t>
      </w:r>
      <w:r w:rsidR="00724DDB">
        <w:rPr>
          <w:sz w:val="28"/>
          <w:szCs w:val="28"/>
          <w:lang w:val="nl-NL"/>
        </w:rPr>
        <w:t xml:space="preserve">; </w:t>
      </w:r>
      <w:r w:rsidRPr="00F05255">
        <w:rPr>
          <w:sz w:val="28"/>
          <w:szCs w:val="28"/>
          <w:lang w:val="nl-NL"/>
        </w:rPr>
        <w:t>số liệu trên báo cáo tài chính phù hợp với số liệu ở các loại sổ tài khoản</w:t>
      </w:r>
      <w:r w:rsidR="008C59B6">
        <w:rPr>
          <w:sz w:val="28"/>
          <w:szCs w:val="28"/>
          <w:lang w:val="nl-NL"/>
        </w:rPr>
        <w:t xml:space="preserve"> </w:t>
      </w:r>
      <w:r w:rsidR="00724DDB" w:rsidRPr="00B701D5">
        <w:rPr>
          <w:sz w:val="28"/>
          <w:szCs w:val="28"/>
          <w:lang w:val="nl-NL"/>
        </w:rPr>
        <w:t xml:space="preserve">và được kiểm toán </w:t>
      </w:r>
      <w:r w:rsidR="00724DDB">
        <w:rPr>
          <w:sz w:val="28"/>
          <w:szCs w:val="28"/>
          <w:lang w:val="nl-NL"/>
        </w:rPr>
        <w:t xml:space="preserve">độc lập </w:t>
      </w:r>
      <w:r w:rsidR="00724DDB" w:rsidRPr="00B701D5">
        <w:rPr>
          <w:sz w:val="28"/>
          <w:szCs w:val="28"/>
          <w:lang w:val="nl-NL"/>
        </w:rPr>
        <w:t>thực hiện kiểm toán</w:t>
      </w:r>
      <w:r w:rsidRPr="00F05255">
        <w:rPr>
          <w:sz w:val="28"/>
          <w:szCs w:val="28"/>
          <w:lang w:val="nl-NL"/>
        </w:rPr>
        <w:t>. Các khoản phải nộp ngân sách nhà nước theo dõi trên sổ sách phù hợp với</w:t>
      </w:r>
      <w:r w:rsidR="00BA5EA1">
        <w:rPr>
          <w:sz w:val="28"/>
          <w:szCs w:val="28"/>
          <w:lang w:val="nl-NL"/>
        </w:rPr>
        <w:t xml:space="preserve"> các </w:t>
      </w:r>
      <w:r w:rsidRPr="00F05255">
        <w:rPr>
          <w:sz w:val="28"/>
          <w:szCs w:val="28"/>
          <w:lang w:val="nl-NL"/>
        </w:rPr>
        <w:t>tờ khai</w:t>
      </w:r>
      <w:r w:rsidR="007E5917">
        <w:rPr>
          <w:sz w:val="28"/>
          <w:szCs w:val="28"/>
          <w:lang w:val="nl-NL"/>
        </w:rPr>
        <w:t xml:space="preserve">, đối chiếu </w:t>
      </w:r>
      <w:r w:rsidR="00C0746B">
        <w:rPr>
          <w:sz w:val="28"/>
          <w:szCs w:val="28"/>
          <w:lang w:val="nl-NL"/>
        </w:rPr>
        <w:t xml:space="preserve">của các </w:t>
      </w:r>
      <w:r w:rsidR="007E5917">
        <w:rPr>
          <w:sz w:val="28"/>
          <w:szCs w:val="28"/>
          <w:lang w:val="nl-NL"/>
        </w:rPr>
        <w:t>cơ quan quản lý</w:t>
      </w:r>
      <w:r w:rsidRPr="00F05255">
        <w:rPr>
          <w:sz w:val="28"/>
          <w:szCs w:val="28"/>
          <w:lang w:val="nl-NL"/>
        </w:rPr>
        <w:t xml:space="preserve">. </w:t>
      </w:r>
    </w:p>
    <w:p w:rsidR="00402501" w:rsidRDefault="002F4C2D" w:rsidP="000D7E6B">
      <w:pPr>
        <w:spacing w:after="120"/>
        <w:ind w:firstLine="567"/>
        <w:jc w:val="both"/>
        <w:rPr>
          <w:sz w:val="28"/>
          <w:szCs w:val="28"/>
          <w:lang w:val="nl-NL"/>
        </w:rPr>
      </w:pPr>
      <w:r w:rsidRPr="00F05255">
        <w:rPr>
          <w:sz w:val="28"/>
          <w:szCs w:val="28"/>
          <w:lang w:val="nl-NL"/>
        </w:rPr>
        <w:t xml:space="preserve">- </w:t>
      </w:r>
      <w:r w:rsidR="00577A89">
        <w:rPr>
          <w:sz w:val="28"/>
          <w:szCs w:val="28"/>
          <w:lang w:val="nl-NL"/>
        </w:rPr>
        <w:t>Toàn bộ l</w:t>
      </w:r>
      <w:r w:rsidRPr="00F05255">
        <w:rPr>
          <w:sz w:val="28"/>
          <w:szCs w:val="28"/>
          <w:lang w:val="nl-NL"/>
        </w:rPr>
        <w:t>ao động làm việc tại Công ty được ký hợp đồng lao động theo quy định tại Điều 23, Bộ luật Lao động năm 2012; nội dung hợp đồng lao động</w:t>
      </w:r>
      <w:r w:rsidR="007E5917">
        <w:rPr>
          <w:sz w:val="28"/>
          <w:szCs w:val="28"/>
          <w:lang w:val="nl-NL"/>
        </w:rPr>
        <w:t xml:space="preserve"> cơ bản</w:t>
      </w:r>
      <w:r w:rsidRPr="00F05255">
        <w:rPr>
          <w:sz w:val="28"/>
          <w:szCs w:val="28"/>
          <w:lang w:val="nl-NL"/>
        </w:rPr>
        <w:t xml:space="preserve"> thể hiện đầy đủ các mục quyền và nghĩa vụ của người lao động và người sử dụng lao động</w:t>
      </w:r>
      <w:r w:rsidR="000C33C6">
        <w:rPr>
          <w:sz w:val="28"/>
          <w:szCs w:val="28"/>
          <w:lang w:val="nl-NL"/>
        </w:rPr>
        <w:t xml:space="preserve">; lao đông của Công ty được tham gia đầy đủ các loại bảo hiểm </w:t>
      </w:r>
      <w:r w:rsidR="009B736B">
        <w:rPr>
          <w:sz w:val="28"/>
          <w:szCs w:val="28"/>
          <w:lang w:val="nl-NL"/>
        </w:rPr>
        <w:t xml:space="preserve">bắt buộc </w:t>
      </w:r>
      <w:r w:rsidR="000C33C6">
        <w:rPr>
          <w:sz w:val="28"/>
          <w:szCs w:val="28"/>
          <w:lang w:val="nl-NL"/>
        </w:rPr>
        <w:t>theo quy định</w:t>
      </w:r>
      <w:r w:rsidRPr="00F05255">
        <w:rPr>
          <w:sz w:val="28"/>
          <w:szCs w:val="28"/>
          <w:lang w:val="nl-NL"/>
        </w:rPr>
        <w:t xml:space="preserve">. </w:t>
      </w:r>
      <w:r w:rsidR="009B736B">
        <w:rPr>
          <w:sz w:val="28"/>
          <w:szCs w:val="28"/>
          <w:lang w:val="nl-NL"/>
        </w:rPr>
        <w:t>Công ty t</w:t>
      </w:r>
      <w:r w:rsidRPr="00F05255">
        <w:rPr>
          <w:sz w:val="28"/>
          <w:szCs w:val="28"/>
          <w:lang w:val="nl-NL"/>
        </w:rPr>
        <w:t>hực hiện chi trả tiền công, các khoản lương, thưởng cho người lao động kịp thời, chứng từ đầy đủ. Các chế độ cho người lao động như: Ốm đau, thai sản được Công ty thực hiện tốt.</w:t>
      </w:r>
    </w:p>
    <w:p w:rsidR="00402501" w:rsidRDefault="001545F1" w:rsidP="000D7E6B">
      <w:pPr>
        <w:spacing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Công ty sử dụng</w:t>
      </w:r>
      <w:r w:rsidR="008C59B6">
        <w:rPr>
          <w:rFonts w:asciiTheme="majorHAnsi" w:hAnsiTheme="majorHAnsi" w:cstheme="majorHAnsi"/>
          <w:sz w:val="28"/>
          <w:szCs w:val="28"/>
          <w:lang w:val="nl-NL"/>
        </w:rPr>
        <w:t xml:space="preserve"> </w:t>
      </w:r>
      <w:r>
        <w:rPr>
          <w:rFonts w:asciiTheme="majorHAnsi" w:hAnsiTheme="majorHAnsi" w:cstheme="majorHAnsi"/>
          <w:sz w:val="28"/>
          <w:szCs w:val="28"/>
          <w:lang w:val="nl-NL"/>
        </w:rPr>
        <w:t xml:space="preserve">thửa đất tại </w:t>
      </w:r>
      <w:r>
        <w:rPr>
          <w:sz w:val="28"/>
          <w:szCs w:val="28"/>
          <w:lang w:val="nl-NL"/>
        </w:rPr>
        <w:t>xã Tân Lâm Hương, huyện Thạch Hà</w:t>
      </w:r>
      <w:r>
        <w:rPr>
          <w:rFonts w:asciiTheme="majorHAnsi" w:hAnsiTheme="majorHAnsi" w:cstheme="majorHAnsi"/>
          <w:sz w:val="28"/>
          <w:szCs w:val="28"/>
          <w:lang w:val="nl-NL"/>
        </w:rPr>
        <w:t xml:space="preserve"> để xây dựng Nhà máy sản xuất Bia Sài Gòn - Hà Tĩnh; nhà máy đã đi vào hoạt động từ năm </w:t>
      </w:r>
      <w:r w:rsidR="00402501" w:rsidRPr="000D7E6B">
        <w:rPr>
          <w:rFonts w:asciiTheme="majorHAnsi" w:hAnsiTheme="majorHAnsi" w:cstheme="majorHAnsi"/>
          <w:sz w:val="28"/>
          <w:szCs w:val="28"/>
          <w:lang w:val="nl-NL"/>
        </w:rPr>
        <w:t>201</w:t>
      </w:r>
      <w:r w:rsidR="00F021AD">
        <w:rPr>
          <w:rFonts w:asciiTheme="majorHAnsi" w:hAnsiTheme="majorHAnsi" w:cstheme="majorHAnsi"/>
          <w:sz w:val="28"/>
          <w:szCs w:val="28"/>
          <w:lang w:val="nl-NL"/>
        </w:rPr>
        <w:t>1</w:t>
      </w:r>
      <w:r>
        <w:rPr>
          <w:rFonts w:asciiTheme="majorHAnsi" w:hAnsiTheme="majorHAnsi" w:cstheme="majorHAnsi"/>
          <w:sz w:val="28"/>
          <w:szCs w:val="28"/>
          <w:lang w:val="nl-NL"/>
        </w:rPr>
        <w:t>và phát huy tốt hiệu quả. Thửa đất do Công ty thuê có đầy đủ các hồ sơ về đất đai,</w:t>
      </w:r>
      <w:r w:rsidR="008C59B6">
        <w:rPr>
          <w:rFonts w:asciiTheme="majorHAnsi" w:hAnsiTheme="majorHAnsi" w:cstheme="majorHAnsi"/>
          <w:sz w:val="28"/>
          <w:szCs w:val="28"/>
          <w:lang w:val="nl-NL"/>
        </w:rPr>
        <w:t xml:space="preserve"> </w:t>
      </w:r>
      <w:r>
        <w:rPr>
          <w:rFonts w:asciiTheme="majorHAnsi" w:hAnsiTheme="majorHAnsi" w:cstheme="majorHAnsi"/>
          <w:sz w:val="28"/>
          <w:szCs w:val="28"/>
          <w:lang w:val="nl-NL"/>
        </w:rPr>
        <w:t>sử dụng đất đúng mục đích được giao; quá trình thuê đất, sử dụng đất đến thời điểm thanh tra không phát sinh tranh chấp.</w:t>
      </w:r>
      <w:r w:rsidR="008C59B6">
        <w:rPr>
          <w:rFonts w:asciiTheme="majorHAnsi" w:hAnsiTheme="majorHAnsi" w:cstheme="majorHAnsi"/>
          <w:sz w:val="28"/>
          <w:szCs w:val="28"/>
          <w:lang w:val="nl-NL"/>
        </w:rPr>
        <w:t xml:space="preserve"> </w:t>
      </w:r>
      <w:r>
        <w:rPr>
          <w:rFonts w:asciiTheme="majorHAnsi" w:hAnsiTheme="majorHAnsi" w:cstheme="majorHAnsi"/>
          <w:sz w:val="28"/>
          <w:szCs w:val="28"/>
          <w:lang w:val="vi-VN"/>
        </w:rPr>
        <w:t>Công ty thực hiện theo dõi, đóng nộp đầy đủ tiền thuê đất, tiền thuế sử dụng đất phi nông nghiệp</w:t>
      </w:r>
      <w:r>
        <w:rPr>
          <w:rFonts w:asciiTheme="majorHAnsi" w:hAnsiTheme="majorHAnsi" w:cstheme="majorHAnsi"/>
          <w:sz w:val="28"/>
          <w:szCs w:val="28"/>
          <w:lang w:val="nl-NL"/>
        </w:rPr>
        <w:t>.</w:t>
      </w:r>
    </w:p>
    <w:p w:rsidR="00402501" w:rsidRDefault="00FE5DDF" w:rsidP="000D7E6B">
      <w:pPr>
        <w:pStyle w:val="ListParagraph"/>
        <w:spacing w:after="120"/>
        <w:ind w:left="0" w:firstLine="567"/>
        <w:contextualSpacing w:val="0"/>
        <w:jc w:val="both"/>
        <w:rPr>
          <w:b/>
          <w:sz w:val="28"/>
          <w:szCs w:val="28"/>
          <w:lang w:val="sv-SE"/>
        </w:rPr>
      </w:pPr>
      <w:r w:rsidRPr="00F05255">
        <w:rPr>
          <w:b/>
          <w:sz w:val="28"/>
          <w:szCs w:val="28"/>
          <w:lang w:val="nl-NL"/>
        </w:rPr>
        <w:t xml:space="preserve">2. Hạn chế, </w:t>
      </w:r>
      <w:r w:rsidRPr="00F05255">
        <w:rPr>
          <w:b/>
          <w:sz w:val="28"/>
          <w:szCs w:val="28"/>
          <w:lang w:val="sv-SE"/>
        </w:rPr>
        <w:t>tồn tại</w:t>
      </w:r>
    </w:p>
    <w:p w:rsidR="00402501" w:rsidRDefault="00FE5DDF" w:rsidP="000D7E6B">
      <w:pPr>
        <w:spacing w:after="120"/>
        <w:ind w:firstLine="567"/>
        <w:jc w:val="both"/>
        <w:rPr>
          <w:b/>
          <w:i/>
          <w:sz w:val="28"/>
          <w:szCs w:val="28"/>
          <w:lang w:val="nl-NL"/>
        </w:rPr>
      </w:pPr>
      <w:r w:rsidRPr="00F05255">
        <w:rPr>
          <w:b/>
          <w:i/>
          <w:sz w:val="28"/>
          <w:szCs w:val="28"/>
          <w:lang w:val="nl-NL"/>
        </w:rPr>
        <w:lastRenderedPageBreak/>
        <w:t>- Thực hiện quy định Luật Doanh nghiệp</w:t>
      </w:r>
      <w:r w:rsidR="00B423F5" w:rsidRPr="00F05255">
        <w:rPr>
          <w:b/>
          <w:i/>
          <w:sz w:val="28"/>
          <w:szCs w:val="28"/>
          <w:lang w:val="nl-NL"/>
        </w:rPr>
        <w:t xml:space="preserve">: </w:t>
      </w:r>
      <w:r w:rsidR="00B423F5" w:rsidRPr="00F05255">
        <w:rPr>
          <w:rFonts w:hint="eastAsia"/>
          <w:sz w:val="28"/>
          <w:szCs w:val="28"/>
          <w:lang w:val="nl-NL"/>
        </w:rPr>
        <w:t>Đã</w:t>
      </w:r>
      <w:r w:rsidR="00B423F5" w:rsidRPr="00F05255">
        <w:rPr>
          <w:sz w:val="28"/>
          <w:szCs w:val="28"/>
          <w:lang w:val="nl-NL"/>
        </w:rPr>
        <w:t xml:space="preserve"> nêu cụ thể ở mục 1</w:t>
      </w:r>
      <w:r w:rsidR="00B6195D">
        <w:rPr>
          <w:sz w:val="28"/>
          <w:szCs w:val="28"/>
          <w:lang w:val="nl-NL"/>
        </w:rPr>
        <w:t>,</w:t>
      </w:r>
      <w:r w:rsidR="00B423F5" w:rsidRPr="00F05255">
        <w:rPr>
          <w:sz w:val="28"/>
          <w:szCs w:val="28"/>
          <w:lang w:val="nl-NL"/>
        </w:rPr>
        <w:t xml:space="preserve"> Phần II ở trên.</w:t>
      </w:r>
    </w:p>
    <w:p w:rsidR="00402501" w:rsidRDefault="00FE5DDF" w:rsidP="000D7E6B">
      <w:pPr>
        <w:spacing w:after="120"/>
        <w:ind w:firstLine="567"/>
        <w:jc w:val="both"/>
        <w:rPr>
          <w:sz w:val="28"/>
          <w:szCs w:val="28"/>
          <w:lang w:val="nl-NL"/>
        </w:rPr>
      </w:pPr>
      <w:r w:rsidRPr="00F05255">
        <w:rPr>
          <w:b/>
          <w:i/>
          <w:sz w:val="28"/>
          <w:szCs w:val="28"/>
          <w:lang w:val="nl-NL"/>
        </w:rPr>
        <w:t>- Thực hiện quy định của pháp luật về tài chính - kế toán, thuế</w:t>
      </w:r>
      <w:r w:rsidR="00B423F5" w:rsidRPr="00F05255">
        <w:rPr>
          <w:b/>
          <w:i/>
          <w:sz w:val="28"/>
          <w:szCs w:val="28"/>
          <w:lang w:val="nl-NL"/>
        </w:rPr>
        <w:t xml:space="preserve">: </w:t>
      </w:r>
      <w:r w:rsidR="00B21E3A">
        <w:rPr>
          <w:sz w:val="28"/>
          <w:szCs w:val="28"/>
          <w:lang w:val="nl-NL"/>
        </w:rPr>
        <w:t>Một số quy chế về tài chính, chi tiêu chưa được bổ sung, điều chỉnh để phù hợp với quy định mới hiện hành</w:t>
      </w:r>
    </w:p>
    <w:p w:rsidR="00402501" w:rsidRDefault="00FE5DDF" w:rsidP="000D7E6B">
      <w:pPr>
        <w:spacing w:after="120"/>
        <w:ind w:firstLine="567"/>
        <w:jc w:val="both"/>
        <w:rPr>
          <w:b/>
          <w:i/>
          <w:sz w:val="28"/>
          <w:szCs w:val="28"/>
          <w:lang w:val="pt-BR"/>
        </w:rPr>
      </w:pPr>
      <w:r w:rsidRPr="00F05255">
        <w:rPr>
          <w:b/>
          <w:i/>
          <w:sz w:val="28"/>
          <w:szCs w:val="28"/>
          <w:lang w:val="pt-BR"/>
        </w:rPr>
        <w:t>- Thực hiện quy định của pháp luật về lao động</w:t>
      </w:r>
      <w:r w:rsidR="00B423F5" w:rsidRPr="00F05255">
        <w:rPr>
          <w:b/>
          <w:i/>
          <w:sz w:val="28"/>
          <w:szCs w:val="28"/>
          <w:lang w:val="pt-BR"/>
        </w:rPr>
        <w:t xml:space="preserve">: </w:t>
      </w:r>
      <w:r w:rsidR="00B423F5" w:rsidRPr="00F05255">
        <w:rPr>
          <w:sz w:val="28"/>
          <w:szCs w:val="28"/>
          <w:lang w:val="nl-NL"/>
        </w:rPr>
        <w:t>Đã nêu cụ thể ở mục 3</w:t>
      </w:r>
      <w:r w:rsidR="00B6195D">
        <w:rPr>
          <w:sz w:val="28"/>
          <w:szCs w:val="28"/>
          <w:lang w:val="nl-NL"/>
        </w:rPr>
        <w:t>,</w:t>
      </w:r>
      <w:r w:rsidR="00B423F5" w:rsidRPr="00F05255">
        <w:rPr>
          <w:sz w:val="28"/>
          <w:szCs w:val="28"/>
          <w:lang w:val="nl-NL"/>
        </w:rPr>
        <w:t xml:space="preserve"> Phần II ở trên.</w:t>
      </w:r>
    </w:p>
    <w:p w:rsidR="00402501" w:rsidRDefault="00FE5DDF" w:rsidP="000D7E6B">
      <w:pPr>
        <w:spacing w:after="120"/>
        <w:ind w:firstLine="567"/>
        <w:jc w:val="both"/>
        <w:rPr>
          <w:b/>
          <w:i/>
          <w:sz w:val="28"/>
          <w:szCs w:val="28"/>
          <w:lang w:val="nl-NL"/>
        </w:rPr>
      </w:pPr>
      <w:r w:rsidRPr="00F05255">
        <w:rPr>
          <w:b/>
          <w:i/>
          <w:sz w:val="28"/>
          <w:szCs w:val="28"/>
          <w:lang w:val="nl-NL"/>
        </w:rPr>
        <w:t xml:space="preserve">- Thực hiện quy định về </w:t>
      </w:r>
      <w:r w:rsidRPr="00F05255">
        <w:rPr>
          <w:b/>
          <w:i/>
          <w:sz w:val="28"/>
          <w:szCs w:val="28"/>
          <w:lang w:val="vi-VN"/>
        </w:rPr>
        <w:t>đất đai</w:t>
      </w:r>
      <w:r w:rsidR="00B21E3A" w:rsidRPr="00B701D5">
        <w:rPr>
          <w:b/>
          <w:i/>
          <w:sz w:val="28"/>
          <w:szCs w:val="28"/>
          <w:lang w:val="pt-BR"/>
        </w:rPr>
        <w:t>, đầu tư xây dựng dự án</w:t>
      </w:r>
      <w:r w:rsidR="007E5917">
        <w:rPr>
          <w:b/>
          <w:i/>
          <w:sz w:val="28"/>
          <w:szCs w:val="28"/>
          <w:lang w:val="pt-BR"/>
        </w:rPr>
        <w:t>:</w:t>
      </w:r>
      <w:r w:rsidR="00B423F5" w:rsidRPr="00F05255">
        <w:rPr>
          <w:sz w:val="28"/>
          <w:szCs w:val="28"/>
          <w:lang w:val="nl-NL"/>
        </w:rPr>
        <w:t>Đã nêu cụ thể ở mục 4</w:t>
      </w:r>
      <w:r w:rsidR="000A44C8">
        <w:rPr>
          <w:sz w:val="28"/>
          <w:szCs w:val="28"/>
          <w:lang w:val="nl-NL"/>
        </w:rPr>
        <w:t>,</w:t>
      </w:r>
      <w:r w:rsidR="00B423F5" w:rsidRPr="00F05255">
        <w:rPr>
          <w:sz w:val="28"/>
          <w:szCs w:val="28"/>
          <w:lang w:val="nl-NL"/>
        </w:rPr>
        <w:t xml:space="preserve"> Phần II ở trên.</w:t>
      </w:r>
    </w:p>
    <w:p w:rsidR="00402501" w:rsidRDefault="00223B43" w:rsidP="000D7E6B">
      <w:pPr>
        <w:spacing w:after="120"/>
        <w:ind w:firstLine="567"/>
        <w:jc w:val="both"/>
        <w:rPr>
          <w:b/>
          <w:bCs/>
          <w:sz w:val="26"/>
          <w:szCs w:val="26"/>
          <w:lang w:val="sv-SE"/>
        </w:rPr>
      </w:pPr>
      <w:r>
        <w:rPr>
          <w:b/>
          <w:bCs/>
          <w:sz w:val="26"/>
          <w:szCs w:val="26"/>
          <w:lang w:val="sv-SE"/>
        </w:rPr>
        <w:t>I</w:t>
      </w:r>
      <w:r w:rsidR="005D4728" w:rsidRPr="00F05255">
        <w:rPr>
          <w:b/>
          <w:bCs/>
          <w:sz w:val="26"/>
          <w:szCs w:val="26"/>
          <w:lang w:val="sv-SE"/>
        </w:rPr>
        <w:t>V</w:t>
      </w:r>
      <w:r w:rsidR="00FE5DDF" w:rsidRPr="00F05255">
        <w:rPr>
          <w:b/>
          <w:bCs/>
          <w:sz w:val="26"/>
          <w:szCs w:val="26"/>
          <w:lang w:val="sv-SE"/>
        </w:rPr>
        <w:t>. KIẾN NGHỊ, XỬ LÝ</w:t>
      </w:r>
    </w:p>
    <w:p w:rsidR="00402501" w:rsidRDefault="0025349F" w:rsidP="000D7E6B">
      <w:pPr>
        <w:spacing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Qua</w:t>
      </w:r>
      <w:r w:rsidR="00B21E3A" w:rsidRPr="00BC74E8">
        <w:rPr>
          <w:rFonts w:asciiTheme="majorHAnsi" w:hAnsiTheme="majorHAnsi" w:cstheme="majorHAnsi"/>
          <w:sz w:val="28"/>
          <w:szCs w:val="28"/>
          <w:lang w:val="nl-NL"/>
        </w:rPr>
        <w:t xml:space="preserve"> thanh tra, đề nghị Công ty tổ chức thực hiện các nội dung sau:</w:t>
      </w:r>
    </w:p>
    <w:p w:rsidR="00402501" w:rsidRDefault="00B21E3A" w:rsidP="000D7E6B">
      <w:pPr>
        <w:spacing w:after="120"/>
        <w:ind w:firstLine="567"/>
        <w:jc w:val="both"/>
        <w:rPr>
          <w:rFonts w:asciiTheme="majorHAnsi" w:hAnsiTheme="majorHAnsi" w:cstheme="majorHAnsi"/>
          <w:b/>
          <w:i/>
          <w:sz w:val="28"/>
          <w:szCs w:val="28"/>
          <w:lang w:val="nl-NL"/>
        </w:rPr>
      </w:pPr>
      <w:r w:rsidRPr="00BC74E8">
        <w:rPr>
          <w:rFonts w:asciiTheme="majorHAnsi" w:hAnsiTheme="majorHAnsi" w:cstheme="majorHAnsi"/>
          <w:b/>
          <w:i/>
          <w:sz w:val="28"/>
          <w:szCs w:val="28"/>
          <w:lang w:val="nl-NL"/>
        </w:rPr>
        <w:t xml:space="preserve">1. </w:t>
      </w:r>
      <w:r w:rsidR="0025349F">
        <w:rPr>
          <w:rFonts w:asciiTheme="majorHAnsi" w:hAnsiTheme="majorHAnsi" w:cstheme="majorHAnsi"/>
          <w:b/>
          <w:i/>
          <w:sz w:val="28"/>
          <w:szCs w:val="28"/>
          <w:lang w:val="nl-NL"/>
        </w:rPr>
        <w:t>T</w:t>
      </w:r>
      <w:r w:rsidRPr="00BC74E8">
        <w:rPr>
          <w:rFonts w:asciiTheme="majorHAnsi" w:hAnsiTheme="majorHAnsi" w:cstheme="majorHAnsi"/>
          <w:b/>
          <w:i/>
          <w:sz w:val="28"/>
          <w:szCs w:val="28"/>
          <w:lang w:val="nl-NL"/>
        </w:rPr>
        <w:t>hực hiện quy định của pháp luật về doanh nghiệp</w:t>
      </w:r>
    </w:p>
    <w:p w:rsidR="00402501" w:rsidRDefault="0038520C" w:rsidP="000D7E6B">
      <w:pPr>
        <w:spacing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Yêu cầu </w:t>
      </w:r>
      <w:r w:rsidR="00B21E3A" w:rsidRPr="00BC74E8">
        <w:rPr>
          <w:rFonts w:asciiTheme="majorHAnsi" w:hAnsiTheme="majorHAnsi" w:cstheme="majorHAnsi"/>
          <w:sz w:val="28"/>
          <w:szCs w:val="28"/>
          <w:lang w:val="nl-NL"/>
        </w:rPr>
        <w:t>Công ty kiến nghị chủ sở hữu (Tổng công ty C</w:t>
      </w:r>
      <w:r>
        <w:rPr>
          <w:rFonts w:asciiTheme="majorHAnsi" w:hAnsiTheme="majorHAnsi" w:cstheme="majorHAnsi"/>
          <w:sz w:val="28"/>
          <w:szCs w:val="28"/>
          <w:lang w:val="nl-NL"/>
        </w:rPr>
        <w:t>ổ phần</w:t>
      </w:r>
      <w:r w:rsidR="008C59B6">
        <w:rPr>
          <w:rFonts w:asciiTheme="majorHAnsi" w:hAnsiTheme="majorHAnsi" w:cstheme="majorHAnsi"/>
          <w:sz w:val="28"/>
          <w:szCs w:val="28"/>
          <w:lang w:val="nl-NL"/>
        </w:rPr>
        <w:t xml:space="preserve"> </w:t>
      </w:r>
      <w:r w:rsidR="00B21E3A" w:rsidRPr="00B701D5">
        <w:rPr>
          <w:rFonts w:asciiTheme="majorHAnsi" w:hAnsiTheme="majorHAnsi" w:cstheme="majorHAnsi"/>
          <w:sz w:val="28"/>
          <w:szCs w:val="28"/>
          <w:lang w:val="nl-NL"/>
        </w:rPr>
        <w:t xml:space="preserve">Bia </w:t>
      </w:r>
      <w:r w:rsidR="00CE3035">
        <w:rPr>
          <w:rFonts w:asciiTheme="majorHAnsi" w:hAnsiTheme="majorHAnsi" w:cstheme="majorHAnsi"/>
          <w:sz w:val="28"/>
          <w:szCs w:val="28"/>
          <w:lang w:val="nl-NL"/>
        </w:rPr>
        <w:t>-</w:t>
      </w:r>
      <w:r w:rsidR="00B21E3A" w:rsidRPr="00B701D5">
        <w:rPr>
          <w:rFonts w:asciiTheme="majorHAnsi" w:hAnsiTheme="majorHAnsi" w:cstheme="majorHAnsi"/>
          <w:sz w:val="28"/>
          <w:szCs w:val="28"/>
          <w:lang w:val="nl-NL"/>
        </w:rPr>
        <w:t xml:space="preserve"> Rượu </w:t>
      </w:r>
      <w:r w:rsidR="00CE3035">
        <w:rPr>
          <w:rFonts w:asciiTheme="majorHAnsi" w:hAnsiTheme="majorHAnsi" w:cstheme="majorHAnsi"/>
          <w:sz w:val="28"/>
          <w:szCs w:val="28"/>
          <w:lang w:val="nl-NL"/>
        </w:rPr>
        <w:t>-</w:t>
      </w:r>
      <w:r w:rsidR="00B21E3A" w:rsidRPr="00B701D5">
        <w:rPr>
          <w:rFonts w:asciiTheme="majorHAnsi" w:hAnsiTheme="majorHAnsi" w:cstheme="majorHAnsi"/>
          <w:sz w:val="28"/>
          <w:szCs w:val="28"/>
          <w:lang w:val="nl-NL"/>
        </w:rPr>
        <w:t xml:space="preserve"> Nước giải khát Sài Gòn</w:t>
      </w:r>
      <w:r w:rsidR="00B21E3A" w:rsidRPr="00BC74E8">
        <w:rPr>
          <w:rFonts w:asciiTheme="majorHAnsi" w:hAnsiTheme="majorHAnsi" w:cstheme="majorHAnsi"/>
          <w:sz w:val="28"/>
          <w:szCs w:val="28"/>
          <w:lang w:val="nl-NL"/>
        </w:rPr>
        <w:t xml:space="preserve">) tiến hành điều chỉnh Điều lệ Công ty phù hợp với pháp luật hiện hành </w:t>
      </w:r>
      <w:r w:rsidR="00CE3035">
        <w:rPr>
          <w:rFonts w:asciiTheme="majorHAnsi" w:hAnsiTheme="majorHAnsi" w:cstheme="majorHAnsi"/>
          <w:sz w:val="28"/>
          <w:szCs w:val="28"/>
          <w:lang w:val="nl-NL"/>
        </w:rPr>
        <w:t>cũng như</w:t>
      </w:r>
      <w:r w:rsidR="008C59B6">
        <w:rPr>
          <w:rFonts w:asciiTheme="majorHAnsi" w:hAnsiTheme="majorHAnsi" w:cstheme="majorHAnsi"/>
          <w:sz w:val="28"/>
          <w:szCs w:val="28"/>
          <w:lang w:val="nl-NL"/>
        </w:rPr>
        <w:t xml:space="preserve"> </w:t>
      </w:r>
      <w:r w:rsidR="00B21E3A" w:rsidRPr="00BC74E8">
        <w:rPr>
          <w:rFonts w:asciiTheme="majorHAnsi" w:hAnsiTheme="majorHAnsi" w:cstheme="majorHAnsi"/>
          <w:sz w:val="28"/>
          <w:szCs w:val="28"/>
          <w:lang w:val="nl-NL"/>
        </w:rPr>
        <w:t>cách thức, phương pháp điều hành của Chủ sở hữu và Công ty mẹ đối với các Công ty con (sửa đổi quy định Chủ tịch HĐTV phải có quốc tịch Việt Nam, Chủ tịch HĐQT Công ty mẹ bổ nhiệm và bổ nhiệm lại Tổng giám đốc,...)</w:t>
      </w:r>
      <w:r>
        <w:rPr>
          <w:rFonts w:asciiTheme="majorHAnsi" w:hAnsiTheme="majorHAnsi" w:cstheme="majorHAnsi"/>
          <w:sz w:val="28"/>
          <w:szCs w:val="28"/>
          <w:lang w:val="nl-NL"/>
        </w:rPr>
        <w:t>.</w:t>
      </w:r>
    </w:p>
    <w:p w:rsidR="00402501" w:rsidRDefault="00CE3035" w:rsidP="000D7E6B">
      <w:pPr>
        <w:spacing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Rà soát, s</w:t>
      </w:r>
      <w:r w:rsidR="00B21E3A" w:rsidRPr="00BC74E8">
        <w:rPr>
          <w:rFonts w:asciiTheme="majorHAnsi" w:hAnsiTheme="majorHAnsi" w:cstheme="majorHAnsi"/>
          <w:sz w:val="28"/>
          <w:szCs w:val="28"/>
          <w:lang w:val="nl-NL"/>
        </w:rPr>
        <w:t xml:space="preserve">ửa đổi, bổ sung, điều chỉnh Quy chế tài chính và các nội quy, quy chế khác đã được ban hành từ </w:t>
      </w:r>
      <w:r w:rsidR="0025349F">
        <w:rPr>
          <w:rFonts w:asciiTheme="majorHAnsi" w:hAnsiTheme="majorHAnsi" w:cstheme="majorHAnsi"/>
          <w:sz w:val="28"/>
          <w:szCs w:val="28"/>
          <w:lang w:val="nl-NL"/>
        </w:rPr>
        <w:t>khi</w:t>
      </w:r>
      <w:r w:rsidR="00B21E3A" w:rsidRPr="00BC74E8">
        <w:rPr>
          <w:rFonts w:asciiTheme="majorHAnsi" w:hAnsiTheme="majorHAnsi" w:cstheme="majorHAnsi"/>
          <w:sz w:val="28"/>
          <w:szCs w:val="28"/>
          <w:lang w:val="nl-NL"/>
        </w:rPr>
        <w:t xml:space="preserve"> thành lập Công ty (trước khi cổ phần hóa, thoái vốn nhà nước tại Công ty mẹ) để phù hợp với quy định hiện </w:t>
      </w:r>
      <w:r>
        <w:rPr>
          <w:rFonts w:asciiTheme="majorHAnsi" w:hAnsiTheme="majorHAnsi" w:cstheme="majorHAnsi"/>
          <w:sz w:val="28"/>
          <w:szCs w:val="28"/>
          <w:lang w:val="nl-NL"/>
        </w:rPr>
        <w:t>hành</w:t>
      </w:r>
      <w:r w:rsidR="008C59B6">
        <w:rPr>
          <w:rFonts w:asciiTheme="majorHAnsi" w:hAnsiTheme="majorHAnsi" w:cstheme="majorHAnsi"/>
          <w:sz w:val="28"/>
          <w:szCs w:val="28"/>
          <w:lang w:val="nl-NL"/>
        </w:rPr>
        <w:t xml:space="preserve"> </w:t>
      </w:r>
      <w:r w:rsidR="00B21E3A" w:rsidRPr="00BC74E8">
        <w:rPr>
          <w:rFonts w:asciiTheme="majorHAnsi" w:hAnsiTheme="majorHAnsi" w:cstheme="majorHAnsi"/>
          <w:sz w:val="28"/>
          <w:szCs w:val="28"/>
          <w:lang w:val="nl-NL"/>
        </w:rPr>
        <w:t xml:space="preserve">và </w:t>
      </w:r>
      <w:r w:rsidR="0038520C">
        <w:rPr>
          <w:rFonts w:asciiTheme="majorHAnsi" w:hAnsiTheme="majorHAnsi" w:cstheme="majorHAnsi"/>
          <w:sz w:val="28"/>
          <w:szCs w:val="28"/>
          <w:lang w:val="nl-NL"/>
        </w:rPr>
        <w:t xml:space="preserve">công tác quản trị </w:t>
      </w:r>
      <w:r w:rsidR="00B21E3A" w:rsidRPr="00BC74E8">
        <w:rPr>
          <w:rFonts w:asciiTheme="majorHAnsi" w:hAnsiTheme="majorHAnsi" w:cstheme="majorHAnsi"/>
          <w:sz w:val="28"/>
          <w:szCs w:val="28"/>
          <w:lang w:val="nl-NL"/>
        </w:rPr>
        <w:t>điều hành mới của Chủ sở hữu, Hội đồng thành viên.</w:t>
      </w:r>
    </w:p>
    <w:p w:rsidR="00402501" w:rsidRDefault="00B21E3A" w:rsidP="000D7E6B">
      <w:pPr>
        <w:spacing w:after="120"/>
        <w:ind w:firstLine="567"/>
        <w:jc w:val="both"/>
        <w:rPr>
          <w:rFonts w:asciiTheme="majorHAnsi" w:hAnsiTheme="majorHAnsi" w:cstheme="majorHAnsi"/>
          <w:b/>
          <w:i/>
          <w:sz w:val="28"/>
          <w:szCs w:val="28"/>
          <w:lang w:val="nl-NL"/>
        </w:rPr>
      </w:pPr>
      <w:r w:rsidRPr="00BC74E8">
        <w:rPr>
          <w:rFonts w:asciiTheme="majorHAnsi" w:hAnsiTheme="majorHAnsi" w:cstheme="majorHAnsi"/>
          <w:b/>
          <w:i/>
          <w:sz w:val="28"/>
          <w:szCs w:val="28"/>
          <w:lang w:val="nl-NL"/>
        </w:rPr>
        <w:t xml:space="preserve">2. </w:t>
      </w:r>
      <w:r w:rsidR="0025349F">
        <w:rPr>
          <w:rFonts w:asciiTheme="majorHAnsi" w:hAnsiTheme="majorHAnsi" w:cstheme="majorHAnsi"/>
          <w:b/>
          <w:i/>
          <w:sz w:val="28"/>
          <w:szCs w:val="28"/>
          <w:lang w:val="nl-NL"/>
        </w:rPr>
        <w:t>C</w:t>
      </w:r>
      <w:r w:rsidRPr="00BC74E8">
        <w:rPr>
          <w:rFonts w:asciiTheme="majorHAnsi" w:hAnsiTheme="majorHAnsi" w:cstheme="majorHAnsi"/>
          <w:b/>
          <w:i/>
          <w:sz w:val="28"/>
          <w:szCs w:val="28"/>
          <w:lang w:val="nl-NL"/>
        </w:rPr>
        <w:t>ông tác Tài chính - Kế toán; kê khai và quyết toán thuế</w:t>
      </w:r>
    </w:p>
    <w:p w:rsidR="00402501" w:rsidRDefault="00B21E3A" w:rsidP="000D7E6B">
      <w:pPr>
        <w:spacing w:after="120"/>
        <w:ind w:firstLine="567"/>
        <w:jc w:val="both"/>
        <w:rPr>
          <w:rFonts w:asciiTheme="majorHAnsi" w:hAnsiTheme="majorHAnsi" w:cstheme="majorHAnsi"/>
          <w:sz w:val="28"/>
          <w:szCs w:val="28"/>
          <w:lang w:val="nl-NL"/>
        </w:rPr>
      </w:pPr>
      <w:r w:rsidRPr="00BC74E8">
        <w:rPr>
          <w:rFonts w:asciiTheme="majorHAnsi" w:hAnsiTheme="majorHAnsi" w:cstheme="majorHAnsi"/>
          <w:sz w:val="28"/>
          <w:szCs w:val="28"/>
          <w:lang w:val="nl-NL"/>
        </w:rPr>
        <w:t xml:space="preserve">Sửa đổi, điều chỉnh </w:t>
      </w:r>
      <w:r w:rsidRPr="00B701D5">
        <w:rPr>
          <w:rFonts w:asciiTheme="majorHAnsi" w:hAnsiTheme="majorHAnsi" w:cstheme="majorHAnsi"/>
          <w:sz w:val="28"/>
          <w:szCs w:val="28"/>
          <w:lang w:val="nl-NL"/>
        </w:rPr>
        <w:t>quy định Quản lý chi phí của Công ty để quy chế phù hợp với pháp luật hiện hành.</w:t>
      </w:r>
      <w:r w:rsidR="00CE3035">
        <w:rPr>
          <w:rFonts w:asciiTheme="majorHAnsi" w:hAnsiTheme="majorHAnsi" w:cstheme="majorHAnsi"/>
          <w:sz w:val="28"/>
          <w:szCs w:val="28"/>
          <w:lang w:val="nl-NL"/>
        </w:rPr>
        <w:t xml:space="preserve"> Chuyển </w:t>
      </w:r>
      <w:r w:rsidR="00C31AA4">
        <w:rPr>
          <w:rFonts w:asciiTheme="majorHAnsi" w:hAnsiTheme="majorHAnsi" w:cstheme="majorHAnsi"/>
          <w:sz w:val="28"/>
          <w:szCs w:val="28"/>
          <w:lang w:val="nl-NL"/>
        </w:rPr>
        <w:t>từ hóa đơn giấy sang sử dụng hóa đơn điện tử.</w:t>
      </w:r>
    </w:p>
    <w:p w:rsidR="00402501" w:rsidRDefault="00B21E3A" w:rsidP="000D7E6B">
      <w:pPr>
        <w:spacing w:after="120"/>
        <w:ind w:firstLine="567"/>
        <w:jc w:val="both"/>
        <w:rPr>
          <w:rFonts w:asciiTheme="majorHAnsi" w:hAnsiTheme="majorHAnsi" w:cstheme="majorHAnsi"/>
          <w:b/>
          <w:i/>
          <w:sz w:val="28"/>
          <w:szCs w:val="28"/>
          <w:lang w:val="nl-NL"/>
        </w:rPr>
      </w:pPr>
      <w:r w:rsidRPr="00BC74E8">
        <w:rPr>
          <w:rFonts w:asciiTheme="majorHAnsi" w:hAnsiTheme="majorHAnsi" w:cstheme="majorHAnsi"/>
          <w:b/>
          <w:i/>
          <w:sz w:val="28"/>
          <w:szCs w:val="28"/>
          <w:lang w:val="nl-NL"/>
        </w:rPr>
        <w:t>3. Thực hiện quy định của pháp luật đối với người lao động</w:t>
      </w:r>
    </w:p>
    <w:p w:rsidR="00402501" w:rsidRDefault="00B21E3A" w:rsidP="000D7E6B">
      <w:pPr>
        <w:spacing w:after="120"/>
        <w:ind w:firstLine="567"/>
        <w:jc w:val="both"/>
        <w:rPr>
          <w:rFonts w:asciiTheme="majorHAnsi" w:hAnsiTheme="majorHAnsi" w:cstheme="majorHAnsi"/>
          <w:sz w:val="28"/>
          <w:szCs w:val="28"/>
          <w:lang w:val="vi-VN"/>
        </w:rPr>
      </w:pPr>
      <w:r w:rsidRPr="00BC74E8">
        <w:rPr>
          <w:rFonts w:asciiTheme="majorHAnsi" w:hAnsiTheme="majorHAnsi" w:cstheme="majorHAnsi"/>
          <w:sz w:val="28"/>
          <w:szCs w:val="28"/>
          <w:lang w:val="nl-NL"/>
        </w:rPr>
        <w:t>Thực hiện việc chuyển đổi nơi đóng nộp kinh phí công đoàn từ Công đoàn ngành Công thương về Liên đoàn lao động nơi Công ty đăng ký địa chỉ trụ sở kinh doanh (Liên đoàn Lao động huyện Thạch Hà) để đảm bảo phân cấp trong thu</w:t>
      </w:r>
      <w:r w:rsidR="0025349F">
        <w:rPr>
          <w:rFonts w:asciiTheme="majorHAnsi" w:hAnsiTheme="majorHAnsi" w:cstheme="majorHAnsi"/>
          <w:sz w:val="28"/>
          <w:szCs w:val="28"/>
          <w:lang w:val="nl-NL"/>
        </w:rPr>
        <w:t xml:space="preserve"> nộp</w:t>
      </w:r>
      <w:r w:rsidRPr="00BC74E8">
        <w:rPr>
          <w:rFonts w:asciiTheme="majorHAnsi" w:hAnsiTheme="majorHAnsi" w:cstheme="majorHAnsi"/>
          <w:sz w:val="28"/>
          <w:szCs w:val="28"/>
          <w:lang w:val="nl-NL"/>
        </w:rPr>
        <w:t xml:space="preserve"> nguồn kinh phí Công đoàn.</w:t>
      </w:r>
    </w:p>
    <w:p w:rsidR="00402501" w:rsidRDefault="00B21E3A" w:rsidP="000D7E6B">
      <w:pPr>
        <w:spacing w:after="120"/>
        <w:ind w:firstLine="567"/>
        <w:jc w:val="both"/>
        <w:rPr>
          <w:rFonts w:asciiTheme="majorHAnsi" w:hAnsiTheme="majorHAnsi" w:cstheme="majorHAnsi"/>
          <w:b/>
          <w:i/>
          <w:sz w:val="28"/>
          <w:szCs w:val="28"/>
          <w:lang w:val="vi-VN"/>
        </w:rPr>
      </w:pPr>
      <w:r w:rsidRPr="00BC74E8">
        <w:rPr>
          <w:rFonts w:asciiTheme="majorHAnsi" w:hAnsiTheme="majorHAnsi" w:cstheme="majorHAnsi"/>
          <w:b/>
          <w:i/>
          <w:sz w:val="28"/>
          <w:szCs w:val="28"/>
          <w:lang w:val="nl-NL"/>
        </w:rPr>
        <w:t xml:space="preserve">4. Việc </w:t>
      </w:r>
      <w:r w:rsidRPr="00BC74E8">
        <w:rPr>
          <w:rFonts w:asciiTheme="majorHAnsi" w:hAnsiTheme="majorHAnsi" w:cstheme="majorHAnsi"/>
          <w:b/>
          <w:i/>
          <w:sz w:val="28"/>
          <w:szCs w:val="28"/>
          <w:lang w:val="vi-VN"/>
        </w:rPr>
        <w:t>quản lý và sử dụng đất</w:t>
      </w:r>
      <w:r w:rsidRPr="00B701D5">
        <w:rPr>
          <w:rFonts w:asciiTheme="majorHAnsi" w:hAnsiTheme="majorHAnsi" w:cstheme="majorHAnsi"/>
          <w:b/>
          <w:i/>
          <w:sz w:val="28"/>
          <w:szCs w:val="28"/>
          <w:lang w:val="vi-VN"/>
        </w:rPr>
        <w:t>, quản lý dự án đầu tư</w:t>
      </w:r>
    </w:p>
    <w:p w:rsidR="00B21E3A" w:rsidRPr="00B701D5" w:rsidRDefault="00B21E3A" w:rsidP="0038520C">
      <w:pPr>
        <w:spacing w:after="120"/>
        <w:ind w:firstLine="567"/>
        <w:jc w:val="both"/>
        <w:rPr>
          <w:rFonts w:asciiTheme="majorHAnsi" w:hAnsiTheme="majorHAnsi" w:cstheme="majorHAnsi"/>
          <w:sz w:val="28"/>
          <w:szCs w:val="28"/>
          <w:lang w:val="vi-VN"/>
        </w:rPr>
      </w:pPr>
      <w:r w:rsidRPr="00B701D5">
        <w:rPr>
          <w:rFonts w:asciiTheme="majorHAnsi" w:hAnsiTheme="majorHAnsi" w:cstheme="majorHAnsi"/>
          <w:sz w:val="28"/>
          <w:szCs w:val="28"/>
          <w:lang w:val="vi-VN"/>
        </w:rPr>
        <w:t xml:space="preserve">Trong </w:t>
      </w:r>
      <w:r w:rsidR="00FF1B66" w:rsidRPr="000D7E6B">
        <w:rPr>
          <w:rFonts w:asciiTheme="majorHAnsi" w:hAnsiTheme="majorHAnsi" w:cstheme="majorHAnsi"/>
          <w:sz w:val="28"/>
          <w:szCs w:val="28"/>
          <w:lang w:val="vi-VN"/>
        </w:rPr>
        <w:t xml:space="preserve">thực hiện dự án </w:t>
      </w:r>
      <w:r w:rsidRPr="00B701D5">
        <w:rPr>
          <w:rFonts w:asciiTheme="majorHAnsi" w:hAnsiTheme="majorHAnsi" w:cstheme="majorHAnsi"/>
          <w:sz w:val="28"/>
          <w:szCs w:val="28"/>
          <w:lang w:val="vi-VN"/>
        </w:rPr>
        <w:t>đầu tư xây dựng</w:t>
      </w:r>
      <w:r w:rsidR="00FF1B66" w:rsidRPr="000D7E6B">
        <w:rPr>
          <w:rFonts w:asciiTheme="majorHAnsi" w:hAnsiTheme="majorHAnsi" w:cstheme="majorHAnsi"/>
          <w:sz w:val="28"/>
          <w:szCs w:val="28"/>
          <w:lang w:val="vi-VN"/>
        </w:rPr>
        <w:t xml:space="preserve"> (nếu có)</w:t>
      </w:r>
      <w:r w:rsidRPr="00B701D5">
        <w:rPr>
          <w:rFonts w:asciiTheme="majorHAnsi" w:hAnsiTheme="majorHAnsi" w:cstheme="majorHAnsi"/>
          <w:sz w:val="28"/>
          <w:szCs w:val="28"/>
          <w:lang w:val="vi-VN"/>
        </w:rPr>
        <w:t>, Công ty chủ động phối hợp với cơ quan thuế địa phương</w:t>
      </w:r>
      <w:r w:rsidR="00FF1B66" w:rsidRPr="000D7E6B">
        <w:rPr>
          <w:rFonts w:asciiTheme="majorHAnsi" w:hAnsiTheme="majorHAnsi" w:cstheme="majorHAnsi"/>
          <w:sz w:val="28"/>
          <w:szCs w:val="28"/>
          <w:lang w:val="vi-VN"/>
        </w:rPr>
        <w:t>,</w:t>
      </w:r>
      <w:r w:rsidRPr="00B701D5">
        <w:rPr>
          <w:rFonts w:asciiTheme="majorHAnsi" w:hAnsiTheme="majorHAnsi" w:cstheme="majorHAnsi"/>
          <w:sz w:val="28"/>
          <w:szCs w:val="28"/>
          <w:lang w:val="vi-VN"/>
        </w:rPr>
        <w:t xml:space="preserve"> </w:t>
      </w:r>
      <w:r w:rsidR="00FF1B66" w:rsidRPr="000D7E6B">
        <w:rPr>
          <w:rFonts w:asciiTheme="majorHAnsi" w:hAnsiTheme="majorHAnsi" w:cstheme="majorHAnsi"/>
          <w:sz w:val="28"/>
          <w:szCs w:val="28"/>
          <w:lang w:val="vi-VN"/>
        </w:rPr>
        <w:t>đề nghị nhà thầu ngoại tỉnh, đăng ký, kê khai, nộp</w:t>
      </w:r>
      <w:r w:rsidR="00FF1B66">
        <w:rPr>
          <w:rFonts w:asciiTheme="majorHAnsi" w:hAnsiTheme="majorHAnsi" w:cstheme="majorHAnsi"/>
          <w:sz w:val="28"/>
          <w:szCs w:val="28"/>
        </w:rPr>
        <w:t xml:space="preserve"> </w:t>
      </w:r>
      <w:r w:rsidR="005316E7">
        <w:rPr>
          <w:rFonts w:asciiTheme="majorHAnsi" w:hAnsiTheme="majorHAnsi" w:cstheme="majorHAnsi"/>
          <w:sz w:val="28"/>
          <w:szCs w:val="28"/>
          <w:lang w:val="vi-VN"/>
        </w:rPr>
        <w:t xml:space="preserve">thuế </w:t>
      </w:r>
      <w:r w:rsidR="005316E7">
        <w:rPr>
          <w:rFonts w:asciiTheme="majorHAnsi" w:hAnsiTheme="majorHAnsi" w:cstheme="majorHAnsi"/>
          <w:sz w:val="28"/>
          <w:szCs w:val="28"/>
        </w:rPr>
        <w:t>Giá</w:t>
      </w:r>
      <w:r w:rsidR="0038520C" w:rsidRPr="000D7E6B">
        <w:rPr>
          <w:rFonts w:asciiTheme="majorHAnsi" w:hAnsiTheme="majorHAnsi" w:cstheme="majorHAnsi"/>
          <w:sz w:val="28"/>
          <w:szCs w:val="28"/>
          <w:lang w:val="vi-VN"/>
        </w:rPr>
        <w:t xml:space="preserve"> trị gia tăng</w:t>
      </w:r>
      <w:r w:rsidRPr="00B701D5">
        <w:rPr>
          <w:rFonts w:asciiTheme="majorHAnsi" w:hAnsiTheme="majorHAnsi" w:cstheme="majorHAnsi"/>
          <w:sz w:val="28"/>
          <w:szCs w:val="28"/>
          <w:lang w:val="vi-VN"/>
        </w:rPr>
        <w:t xml:space="preserve"> vãng lai theo quy định.</w:t>
      </w:r>
    </w:p>
    <w:p w:rsidR="00402501" w:rsidRPr="00481F07" w:rsidRDefault="00B21E3A" w:rsidP="000D7E6B">
      <w:pPr>
        <w:spacing w:after="120"/>
        <w:ind w:firstLine="567"/>
        <w:jc w:val="both"/>
        <w:rPr>
          <w:rFonts w:asciiTheme="majorHAnsi" w:hAnsiTheme="majorHAnsi" w:cstheme="majorHAnsi"/>
          <w:sz w:val="28"/>
          <w:szCs w:val="28"/>
          <w:lang w:val="vi-VN"/>
        </w:rPr>
      </w:pPr>
      <w:r w:rsidRPr="00B701D5">
        <w:rPr>
          <w:rFonts w:asciiTheme="majorHAnsi" w:hAnsiTheme="majorHAnsi" w:cstheme="majorHAnsi"/>
          <w:b/>
          <w:i/>
          <w:sz w:val="28"/>
          <w:szCs w:val="28"/>
          <w:lang w:val="vi-VN"/>
        </w:rPr>
        <w:t>5. Về kinh tế:</w:t>
      </w:r>
      <w:r w:rsidRPr="00B701D5">
        <w:rPr>
          <w:rFonts w:asciiTheme="majorHAnsi" w:hAnsiTheme="majorHAnsi" w:cstheme="majorHAnsi"/>
          <w:sz w:val="28"/>
          <w:szCs w:val="28"/>
          <w:lang w:val="vi-VN"/>
        </w:rPr>
        <w:t xml:space="preserve"> Chánh </w:t>
      </w:r>
      <w:r w:rsidR="0038520C" w:rsidRPr="000D7E6B">
        <w:rPr>
          <w:rFonts w:asciiTheme="majorHAnsi" w:hAnsiTheme="majorHAnsi" w:cstheme="majorHAnsi"/>
          <w:sz w:val="28"/>
          <w:szCs w:val="28"/>
          <w:lang w:val="vi-VN"/>
        </w:rPr>
        <w:t>T</w:t>
      </w:r>
      <w:r w:rsidRPr="00B701D5">
        <w:rPr>
          <w:rFonts w:asciiTheme="majorHAnsi" w:hAnsiTheme="majorHAnsi" w:cstheme="majorHAnsi"/>
          <w:sz w:val="28"/>
          <w:szCs w:val="28"/>
          <w:lang w:val="vi-VN"/>
        </w:rPr>
        <w:t xml:space="preserve">hanh tra </w:t>
      </w:r>
      <w:r w:rsidR="00402501" w:rsidRPr="000D7E6B">
        <w:rPr>
          <w:rFonts w:asciiTheme="majorHAnsi" w:hAnsiTheme="majorHAnsi" w:cstheme="majorHAnsi"/>
          <w:sz w:val="28"/>
          <w:szCs w:val="28"/>
          <w:lang w:val="vi-VN"/>
        </w:rPr>
        <w:t xml:space="preserve">tỉnh </w:t>
      </w:r>
      <w:r w:rsidRPr="00B701D5">
        <w:rPr>
          <w:rFonts w:asciiTheme="majorHAnsi" w:hAnsiTheme="majorHAnsi" w:cstheme="majorHAnsi"/>
          <w:sz w:val="28"/>
          <w:szCs w:val="28"/>
          <w:lang w:val="vi-VN"/>
        </w:rPr>
        <w:t>đã ban hành Quyết định số 101/QĐ-TT ngày 12/8/2021 về xử lý thu hồi</w:t>
      </w:r>
      <w:r w:rsidR="003B036A">
        <w:rPr>
          <w:rFonts w:asciiTheme="majorHAnsi" w:hAnsiTheme="majorHAnsi" w:cstheme="majorHAnsi"/>
          <w:sz w:val="28"/>
          <w:szCs w:val="28"/>
          <w:lang w:val="vi-VN"/>
        </w:rPr>
        <w:t xml:space="preserve"> thuế </w:t>
      </w:r>
      <w:r w:rsidR="003B036A">
        <w:rPr>
          <w:rFonts w:asciiTheme="majorHAnsi" w:hAnsiTheme="majorHAnsi" w:cstheme="majorHAnsi"/>
          <w:sz w:val="28"/>
          <w:szCs w:val="28"/>
        </w:rPr>
        <w:t>Giá</w:t>
      </w:r>
      <w:r w:rsidR="0038520C" w:rsidRPr="000D7E6B">
        <w:rPr>
          <w:rFonts w:asciiTheme="majorHAnsi" w:hAnsiTheme="majorHAnsi" w:cstheme="majorHAnsi"/>
          <w:sz w:val="28"/>
          <w:szCs w:val="28"/>
          <w:lang w:val="vi-VN"/>
        </w:rPr>
        <w:t xml:space="preserve"> trị gia tăng</w:t>
      </w:r>
      <w:r w:rsidRPr="00B701D5">
        <w:rPr>
          <w:rFonts w:asciiTheme="majorHAnsi" w:hAnsiTheme="majorHAnsi" w:cstheme="majorHAnsi"/>
          <w:sz w:val="28"/>
          <w:szCs w:val="28"/>
          <w:lang w:val="vi-VN"/>
        </w:rPr>
        <w:t xml:space="preserve"> vãng lai ngoại tỉnh</w:t>
      </w:r>
      <w:r w:rsidR="0038520C" w:rsidRPr="000D7E6B">
        <w:rPr>
          <w:rFonts w:asciiTheme="majorHAnsi" w:hAnsiTheme="majorHAnsi" w:cstheme="majorHAnsi"/>
          <w:sz w:val="28"/>
          <w:szCs w:val="28"/>
          <w:lang w:val="vi-VN"/>
        </w:rPr>
        <w:t>,</w:t>
      </w:r>
      <w:r w:rsidR="003B036A">
        <w:rPr>
          <w:rFonts w:asciiTheme="majorHAnsi" w:hAnsiTheme="majorHAnsi" w:cstheme="majorHAnsi"/>
          <w:sz w:val="28"/>
          <w:szCs w:val="28"/>
        </w:rPr>
        <w:t xml:space="preserve"> </w:t>
      </w:r>
      <w:r w:rsidR="0038520C" w:rsidRPr="00B701D5">
        <w:rPr>
          <w:rFonts w:asciiTheme="majorHAnsi" w:hAnsiTheme="majorHAnsi" w:cstheme="majorHAnsi"/>
          <w:sz w:val="28"/>
          <w:szCs w:val="28"/>
          <w:lang w:val="vi-VN"/>
        </w:rPr>
        <w:t>số tiền</w:t>
      </w:r>
      <w:r w:rsidRPr="00B701D5">
        <w:rPr>
          <w:rFonts w:asciiTheme="majorHAnsi" w:hAnsiTheme="majorHAnsi" w:cstheme="majorHAnsi"/>
          <w:sz w:val="28"/>
          <w:szCs w:val="28"/>
          <w:lang w:val="vi-VN"/>
        </w:rPr>
        <w:t xml:space="preserve"> 224.181.818 </w:t>
      </w:r>
      <w:r w:rsidRPr="00B701D5">
        <w:rPr>
          <w:rFonts w:asciiTheme="majorHAnsi" w:hAnsiTheme="majorHAnsi" w:cstheme="majorHAnsi"/>
          <w:sz w:val="28"/>
          <w:szCs w:val="28"/>
          <w:lang w:val="vi-VN" w:eastAsia="vi-VN"/>
        </w:rPr>
        <w:t xml:space="preserve">đồng vào </w:t>
      </w:r>
      <w:r w:rsidR="0038520C" w:rsidRPr="000D7E6B">
        <w:rPr>
          <w:rFonts w:asciiTheme="majorHAnsi" w:hAnsiTheme="majorHAnsi" w:cstheme="majorHAnsi"/>
          <w:sz w:val="28"/>
          <w:szCs w:val="28"/>
          <w:lang w:val="vi-VN" w:eastAsia="vi-VN"/>
        </w:rPr>
        <w:t>N</w:t>
      </w:r>
      <w:r w:rsidRPr="00B701D5">
        <w:rPr>
          <w:rFonts w:asciiTheme="majorHAnsi" w:hAnsiTheme="majorHAnsi" w:cstheme="majorHAnsi"/>
          <w:sz w:val="28"/>
          <w:szCs w:val="28"/>
          <w:lang w:val="vi-VN" w:eastAsia="vi-VN"/>
        </w:rPr>
        <w:t xml:space="preserve">gân sách </w:t>
      </w:r>
      <w:r w:rsidR="0038520C" w:rsidRPr="000D7E6B">
        <w:rPr>
          <w:rFonts w:asciiTheme="majorHAnsi" w:hAnsiTheme="majorHAnsi" w:cstheme="majorHAnsi"/>
          <w:sz w:val="28"/>
          <w:szCs w:val="28"/>
          <w:lang w:val="vi-VN" w:eastAsia="vi-VN"/>
        </w:rPr>
        <w:t>N</w:t>
      </w:r>
      <w:r w:rsidRPr="00B701D5">
        <w:rPr>
          <w:rFonts w:asciiTheme="majorHAnsi" w:hAnsiTheme="majorHAnsi" w:cstheme="majorHAnsi"/>
          <w:sz w:val="28"/>
          <w:szCs w:val="28"/>
          <w:lang w:val="vi-VN" w:eastAsia="vi-VN"/>
        </w:rPr>
        <w:t>hà nước</w:t>
      </w:r>
      <w:r w:rsidR="0038520C" w:rsidRPr="000D7E6B">
        <w:rPr>
          <w:rFonts w:asciiTheme="majorHAnsi" w:hAnsiTheme="majorHAnsi" w:cstheme="majorHAnsi"/>
          <w:sz w:val="28"/>
          <w:szCs w:val="28"/>
          <w:lang w:val="vi-VN" w:eastAsia="vi-VN"/>
        </w:rPr>
        <w:t xml:space="preserve"> </w:t>
      </w:r>
      <w:r w:rsidRPr="00B701D5">
        <w:rPr>
          <w:rFonts w:asciiTheme="majorHAnsi" w:hAnsiTheme="majorHAnsi" w:cstheme="majorHAnsi"/>
          <w:sz w:val="28"/>
          <w:szCs w:val="28"/>
          <w:lang w:val="vi-VN" w:eastAsia="vi-VN"/>
        </w:rPr>
        <w:t xml:space="preserve">từ </w:t>
      </w:r>
      <w:r w:rsidRPr="00B701D5">
        <w:rPr>
          <w:rFonts w:asciiTheme="majorHAnsi" w:hAnsiTheme="majorHAnsi" w:cstheme="majorHAnsi"/>
          <w:bCs/>
          <w:sz w:val="28"/>
          <w:szCs w:val="28"/>
          <w:lang w:val="vi-VN"/>
        </w:rPr>
        <w:t xml:space="preserve">Công ty TNHH Cơ nhiệt </w:t>
      </w:r>
      <w:r w:rsidR="0038520C" w:rsidRPr="000D7E6B">
        <w:rPr>
          <w:rFonts w:asciiTheme="majorHAnsi" w:hAnsiTheme="majorHAnsi" w:cstheme="majorHAnsi"/>
          <w:bCs/>
          <w:sz w:val="28"/>
          <w:szCs w:val="28"/>
          <w:lang w:val="vi-VN"/>
        </w:rPr>
        <w:t>đ</w:t>
      </w:r>
      <w:r w:rsidRPr="00B701D5">
        <w:rPr>
          <w:rFonts w:asciiTheme="majorHAnsi" w:hAnsiTheme="majorHAnsi" w:cstheme="majorHAnsi"/>
          <w:bCs/>
          <w:sz w:val="28"/>
          <w:szCs w:val="28"/>
          <w:lang w:val="vi-VN"/>
        </w:rPr>
        <w:t>iện lạnh Bách Khoa</w:t>
      </w:r>
      <w:r w:rsidR="0038520C" w:rsidRPr="000D7E6B">
        <w:rPr>
          <w:rFonts w:asciiTheme="majorHAnsi" w:hAnsiTheme="majorHAnsi" w:cstheme="majorHAnsi"/>
          <w:bCs/>
          <w:sz w:val="28"/>
          <w:szCs w:val="28"/>
          <w:lang w:val="vi-VN"/>
        </w:rPr>
        <w:t>- Hà Nội</w:t>
      </w:r>
      <w:r w:rsidRPr="00B701D5">
        <w:rPr>
          <w:rFonts w:asciiTheme="majorHAnsi" w:hAnsiTheme="majorHAnsi" w:cstheme="majorHAnsi"/>
          <w:bCs/>
          <w:sz w:val="28"/>
          <w:szCs w:val="28"/>
          <w:lang w:val="vi-VN"/>
        </w:rPr>
        <w:t xml:space="preserve"> (đã thực hiện)</w:t>
      </w:r>
      <w:r w:rsidR="0038520C" w:rsidRPr="000D7E6B">
        <w:rPr>
          <w:rFonts w:asciiTheme="majorHAnsi" w:hAnsiTheme="majorHAnsi" w:cstheme="majorHAnsi"/>
          <w:bCs/>
          <w:sz w:val="28"/>
          <w:szCs w:val="28"/>
          <w:lang w:val="vi-VN"/>
        </w:rPr>
        <w:t>.</w:t>
      </w:r>
    </w:p>
    <w:p w:rsidR="00402501" w:rsidRDefault="00FE5DDF" w:rsidP="000D7E6B">
      <w:pPr>
        <w:spacing w:after="120"/>
        <w:ind w:firstLine="567"/>
        <w:jc w:val="both"/>
        <w:rPr>
          <w:sz w:val="28"/>
          <w:szCs w:val="28"/>
          <w:lang w:val="nl-NL"/>
        </w:rPr>
      </w:pPr>
      <w:r w:rsidRPr="00F05255">
        <w:rPr>
          <w:sz w:val="28"/>
          <w:szCs w:val="28"/>
          <w:lang w:val="nl-NL"/>
        </w:rPr>
        <w:lastRenderedPageBreak/>
        <w:t xml:space="preserve">Trên đây là kết luận thanh tra </w:t>
      </w:r>
      <w:r w:rsidRPr="00F05255">
        <w:rPr>
          <w:iCs/>
          <w:sz w:val="28"/>
          <w:szCs w:val="28"/>
          <w:lang w:val="nl-NL"/>
        </w:rPr>
        <w:t>v</w:t>
      </w:r>
      <w:r w:rsidRPr="00F05255">
        <w:rPr>
          <w:sz w:val="28"/>
          <w:szCs w:val="28"/>
          <w:lang w:val="nl-NL"/>
        </w:rPr>
        <w:t>iệc chấp hành các quy định của pháp luật về: Doanh nghiệp, đất đai</w:t>
      </w:r>
      <w:r w:rsidRPr="00F05255">
        <w:rPr>
          <w:sz w:val="28"/>
          <w:szCs w:val="28"/>
          <w:lang w:val="vi-VN"/>
        </w:rPr>
        <w:t>, đầu tư xây dựng</w:t>
      </w:r>
      <w:r w:rsidRPr="00F05255">
        <w:rPr>
          <w:sz w:val="28"/>
          <w:szCs w:val="28"/>
          <w:lang w:val="nl-NL"/>
        </w:rPr>
        <w:t>,</w:t>
      </w:r>
      <w:r w:rsidR="008C59B6">
        <w:rPr>
          <w:sz w:val="28"/>
          <w:szCs w:val="28"/>
          <w:lang w:val="nl-NL"/>
        </w:rPr>
        <w:t xml:space="preserve"> </w:t>
      </w:r>
      <w:r w:rsidRPr="00F05255">
        <w:rPr>
          <w:sz w:val="28"/>
          <w:szCs w:val="28"/>
          <w:lang w:val="vi-VN"/>
        </w:rPr>
        <w:t xml:space="preserve">thực hiện nghĩa vụ đối với </w:t>
      </w:r>
      <w:r w:rsidRPr="00F05255">
        <w:rPr>
          <w:sz w:val="28"/>
          <w:szCs w:val="28"/>
          <w:lang w:val="nl-NL"/>
        </w:rPr>
        <w:t>N</w:t>
      </w:r>
      <w:r w:rsidRPr="00F05255">
        <w:rPr>
          <w:sz w:val="28"/>
          <w:szCs w:val="28"/>
          <w:lang w:val="vi-VN"/>
        </w:rPr>
        <w:t>hà nước</w:t>
      </w:r>
      <w:r w:rsidR="008C59B6" w:rsidRPr="000D7E6B">
        <w:rPr>
          <w:sz w:val="28"/>
          <w:szCs w:val="28"/>
          <w:lang w:val="vi-VN"/>
        </w:rPr>
        <w:t xml:space="preserve"> </w:t>
      </w:r>
      <w:r w:rsidRPr="00F05255">
        <w:rPr>
          <w:sz w:val="28"/>
          <w:szCs w:val="28"/>
          <w:lang w:val="vi-VN"/>
        </w:rPr>
        <w:t>và người lao động</w:t>
      </w:r>
      <w:r w:rsidR="008C59B6" w:rsidRPr="000D7E6B">
        <w:rPr>
          <w:sz w:val="28"/>
          <w:szCs w:val="28"/>
          <w:lang w:val="vi-VN"/>
        </w:rPr>
        <w:t xml:space="preserve"> </w:t>
      </w:r>
      <w:r w:rsidRPr="00F05255">
        <w:rPr>
          <w:sz w:val="28"/>
          <w:szCs w:val="28"/>
          <w:lang w:val="vi-VN"/>
        </w:rPr>
        <w:t>tại</w:t>
      </w:r>
      <w:r w:rsidR="008C59B6" w:rsidRPr="000D7E6B">
        <w:rPr>
          <w:sz w:val="28"/>
          <w:szCs w:val="28"/>
          <w:lang w:val="vi-VN"/>
        </w:rPr>
        <w:t xml:space="preserve"> </w:t>
      </w:r>
      <w:r w:rsidR="00DE4140">
        <w:rPr>
          <w:sz w:val="28"/>
          <w:szCs w:val="28"/>
          <w:lang w:val="nl-NL"/>
        </w:rPr>
        <w:t xml:space="preserve">Công ty </w:t>
      </w:r>
      <w:r w:rsidR="00070C0A">
        <w:rPr>
          <w:sz w:val="28"/>
          <w:szCs w:val="28"/>
          <w:lang w:val="nl-NL"/>
        </w:rPr>
        <w:t>TNHH Một thành viên Bia Sài Gòn - Hà Tĩnh</w:t>
      </w:r>
      <w:r w:rsidRPr="00F05255">
        <w:rPr>
          <w:sz w:val="28"/>
          <w:szCs w:val="28"/>
          <w:lang w:val="nl-NL"/>
        </w:rPr>
        <w:t xml:space="preserve">. </w:t>
      </w:r>
      <w:r w:rsidRPr="00F05255">
        <w:rPr>
          <w:iCs/>
          <w:sz w:val="28"/>
          <w:szCs w:val="28"/>
          <w:lang w:val="nl-NL"/>
        </w:rPr>
        <w:t xml:space="preserve">Yêu cầu </w:t>
      </w:r>
      <w:r w:rsidRPr="00F05255">
        <w:rPr>
          <w:sz w:val="28"/>
          <w:szCs w:val="28"/>
          <w:lang w:val="nl-NL"/>
        </w:rPr>
        <w:t xml:space="preserve">Giám đốc Công ty và các tổ chức, cá nhân liên quan nghiêm túc thực hiện và báo </w:t>
      </w:r>
      <w:r w:rsidRPr="0038520C">
        <w:rPr>
          <w:sz w:val="28"/>
          <w:szCs w:val="28"/>
          <w:lang w:val="nl-NL"/>
        </w:rPr>
        <w:t xml:space="preserve">cáo kết quả về Thanh tra tỉnh trước ngày </w:t>
      </w:r>
      <w:r w:rsidR="00402501" w:rsidRPr="000D7E6B">
        <w:rPr>
          <w:sz w:val="28"/>
          <w:szCs w:val="28"/>
          <w:lang w:val="nl-NL"/>
        </w:rPr>
        <w:t>30/1</w:t>
      </w:r>
      <w:r w:rsidR="0004042F">
        <w:rPr>
          <w:sz w:val="28"/>
          <w:szCs w:val="28"/>
          <w:lang w:val="nl-NL"/>
        </w:rPr>
        <w:t>0</w:t>
      </w:r>
      <w:r w:rsidR="00402501" w:rsidRPr="000D7E6B">
        <w:rPr>
          <w:sz w:val="28"/>
          <w:szCs w:val="28"/>
          <w:lang w:val="nl-NL"/>
        </w:rPr>
        <w:t>/2021</w:t>
      </w:r>
      <w:r w:rsidRPr="0038520C">
        <w:rPr>
          <w:sz w:val="28"/>
          <w:szCs w:val="28"/>
          <w:lang w:val="nl-NL"/>
        </w:rPr>
        <w:t>. Giao Trưởng Đoàn thanh tra</w:t>
      </w:r>
      <w:r w:rsidRPr="00F05255">
        <w:rPr>
          <w:sz w:val="28"/>
          <w:szCs w:val="28"/>
          <w:lang w:val="nl-NL"/>
        </w:rPr>
        <w:t xml:space="preserve"> theo </w:t>
      </w:r>
      <w:r w:rsidR="000C3F22">
        <w:rPr>
          <w:sz w:val="28"/>
          <w:szCs w:val="28"/>
          <w:lang w:val="nl-NL"/>
        </w:rPr>
        <w:t xml:space="preserve">Quyết định số </w:t>
      </w:r>
      <w:r w:rsidR="00070C0A">
        <w:rPr>
          <w:sz w:val="28"/>
          <w:szCs w:val="28"/>
          <w:lang w:val="nl-NL"/>
        </w:rPr>
        <w:t>91/QĐ-TT ngày 29/7/2021</w:t>
      </w:r>
      <w:r w:rsidRPr="00F05255">
        <w:rPr>
          <w:sz w:val="28"/>
          <w:szCs w:val="28"/>
          <w:lang w:val="nl-NL"/>
        </w:rPr>
        <w:t>, Trưởng Phòng Nghiệp vụ 4 - Thanh tra tỉnh theo dõi, đôn đốc việc thực hiện</w:t>
      </w:r>
      <w:r w:rsidRPr="00F05255">
        <w:rPr>
          <w:sz w:val="28"/>
          <w:szCs w:val="28"/>
          <w:lang w:val="vi-VN"/>
        </w:rPr>
        <w:t>./.</w:t>
      </w:r>
    </w:p>
    <w:p w:rsidR="003F08C8" w:rsidRPr="0005356E" w:rsidRDefault="003F08C8" w:rsidP="00C33571">
      <w:pPr>
        <w:spacing w:after="100"/>
        <w:ind w:firstLine="709"/>
        <w:jc w:val="both"/>
        <w:rPr>
          <w:sz w:val="28"/>
          <w:szCs w:val="28"/>
          <w:lang w:val="nl-NL"/>
        </w:rPr>
      </w:pPr>
    </w:p>
    <w:tbl>
      <w:tblPr>
        <w:tblW w:w="0" w:type="auto"/>
        <w:tblInd w:w="108" w:type="dxa"/>
        <w:tblLook w:val="0000" w:firstRow="0" w:lastRow="0" w:firstColumn="0" w:lastColumn="0" w:noHBand="0" w:noVBand="0"/>
      </w:tblPr>
      <w:tblGrid>
        <w:gridCol w:w="3686"/>
        <w:gridCol w:w="5670"/>
      </w:tblGrid>
      <w:tr w:rsidR="00FE5DDF" w:rsidRPr="00F27D78" w:rsidTr="006D600D">
        <w:trPr>
          <w:trHeight w:val="1689"/>
        </w:trPr>
        <w:tc>
          <w:tcPr>
            <w:tcW w:w="3686" w:type="dxa"/>
            <w:shd w:val="clear" w:color="auto" w:fill="auto"/>
          </w:tcPr>
          <w:p w:rsidR="00FE5DDF" w:rsidRPr="00F27D78" w:rsidRDefault="00FE5DDF" w:rsidP="00B847D0">
            <w:pPr>
              <w:spacing w:after="40"/>
              <w:jc w:val="both"/>
              <w:rPr>
                <w:b/>
                <w:i/>
                <w:iCs/>
                <w:lang w:val="nl-NL"/>
              </w:rPr>
            </w:pPr>
            <w:r w:rsidRPr="00F27D78">
              <w:rPr>
                <w:b/>
                <w:i/>
                <w:iCs/>
                <w:lang w:val="nl-NL"/>
              </w:rPr>
              <w:t xml:space="preserve">Nơi nhận: </w:t>
            </w:r>
          </w:p>
          <w:p w:rsidR="00FE5DDF" w:rsidRPr="00605284" w:rsidRDefault="00FE5DDF" w:rsidP="00B847D0">
            <w:pPr>
              <w:jc w:val="both"/>
              <w:rPr>
                <w:lang w:val="nl-NL"/>
              </w:rPr>
            </w:pPr>
            <w:r w:rsidRPr="00264800">
              <w:rPr>
                <w:sz w:val="22"/>
                <w:szCs w:val="22"/>
                <w:lang w:val="nl-NL"/>
              </w:rPr>
              <w:t>- UBND tỉnh (B/c);</w:t>
            </w:r>
          </w:p>
          <w:p w:rsidR="0038520C" w:rsidRDefault="00FE5DDF" w:rsidP="00B847D0">
            <w:pPr>
              <w:jc w:val="both"/>
              <w:rPr>
                <w:lang w:val="nl-NL"/>
              </w:rPr>
            </w:pPr>
            <w:r w:rsidRPr="00264800">
              <w:rPr>
                <w:sz w:val="22"/>
                <w:szCs w:val="22"/>
                <w:lang w:val="nl-NL"/>
              </w:rPr>
              <w:t>-</w:t>
            </w:r>
            <w:r w:rsidRPr="00605284">
              <w:rPr>
                <w:sz w:val="22"/>
                <w:szCs w:val="22"/>
                <w:lang w:val="nl-NL"/>
              </w:rPr>
              <w:t xml:space="preserve"> Công ty</w:t>
            </w:r>
            <w:r w:rsidR="0038520C">
              <w:rPr>
                <w:sz w:val="22"/>
                <w:szCs w:val="22"/>
                <w:lang w:val="nl-NL"/>
              </w:rPr>
              <w:t xml:space="preserve"> TNHH MTV</w:t>
            </w:r>
            <w:r w:rsidR="008C59B6">
              <w:rPr>
                <w:sz w:val="22"/>
                <w:szCs w:val="22"/>
                <w:lang w:val="nl-NL"/>
              </w:rPr>
              <w:t xml:space="preserve"> </w:t>
            </w:r>
            <w:r w:rsidR="00264800" w:rsidRPr="00605284">
              <w:rPr>
                <w:sz w:val="22"/>
                <w:szCs w:val="22"/>
                <w:lang w:val="nl-NL"/>
              </w:rPr>
              <w:t xml:space="preserve">Bia </w:t>
            </w:r>
          </w:p>
          <w:p w:rsidR="00FE5DDF" w:rsidRPr="00605284" w:rsidRDefault="00264800" w:rsidP="00B847D0">
            <w:pPr>
              <w:jc w:val="both"/>
              <w:rPr>
                <w:lang w:val="nl-NL"/>
              </w:rPr>
            </w:pPr>
            <w:r w:rsidRPr="00605284">
              <w:rPr>
                <w:sz w:val="22"/>
                <w:szCs w:val="22"/>
                <w:lang w:val="nl-NL"/>
              </w:rPr>
              <w:t>Sài Gòn - Hà Tĩnh</w:t>
            </w:r>
            <w:r w:rsidR="00FE5DDF" w:rsidRPr="00605284">
              <w:rPr>
                <w:sz w:val="22"/>
                <w:szCs w:val="22"/>
                <w:lang w:val="nl-NL"/>
              </w:rPr>
              <w:t>;</w:t>
            </w:r>
          </w:p>
          <w:p w:rsidR="00FE5DDF" w:rsidRPr="00F27D78" w:rsidRDefault="00FE5DDF" w:rsidP="00B847D0">
            <w:pPr>
              <w:jc w:val="both"/>
              <w:rPr>
                <w:b/>
                <w:i/>
                <w:iCs/>
                <w:lang w:val="nl-NL"/>
              </w:rPr>
            </w:pPr>
            <w:r w:rsidRPr="00264800">
              <w:rPr>
                <w:sz w:val="22"/>
                <w:szCs w:val="22"/>
                <w:lang w:val="vi-VN"/>
              </w:rPr>
              <w:t>- Lưu</w:t>
            </w:r>
            <w:r w:rsidRPr="00605284">
              <w:rPr>
                <w:sz w:val="22"/>
                <w:szCs w:val="22"/>
                <w:lang w:val="nl-NL"/>
              </w:rPr>
              <w:t>:</w:t>
            </w:r>
            <w:r w:rsidRPr="00605284">
              <w:rPr>
                <w:sz w:val="22"/>
                <w:szCs w:val="22"/>
                <w:lang w:val="vi-VN"/>
              </w:rPr>
              <w:t xml:space="preserve"> VT, ĐTT</w:t>
            </w:r>
            <w:r w:rsidRPr="00605284">
              <w:rPr>
                <w:sz w:val="22"/>
                <w:szCs w:val="22"/>
                <w:lang w:val="nl-NL"/>
              </w:rPr>
              <w:t>, NV4</w:t>
            </w:r>
            <w:r w:rsidRPr="00605284">
              <w:rPr>
                <w:sz w:val="22"/>
                <w:szCs w:val="22"/>
                <w:lang w:val="vi-VN"/>
              </w:rPr>
              <w:t>.</w:t>
            </w:r>
            <w:r w:rsidRPr="00605284">
              <w:rPr>
                <w:sz w:val="22"/>
                <w:szCs w:val="22"/>
                <w:lang w:val="nl-NL"/>
              </w:rPr>
              <w:tab/>
            </w:r>
          </w:p>
        </w:tc>
        <w:tc>
          <w:tcPr>
            <w:tcW w:w="5670" w:type="dxa"/>
          </w:tcPr>
          <w:p w:rsidR="00FE5DDF" w:rsidRPr="00F27D78" w:rsidRDefault="00FE5DDF" w:rsidP="00B847D0">
            <w:pPr>
              <w:pStyle w:val="Heading9"/>
              <w:spacing w:before="0"/>
              <w:rPr>
                <w:bCs/>
                <w:sz w:val="26"/>
                <w:szCs w:val="26"/>
              </w:rPr>
            </w:pPr>
            <w:r w:rsidRPr="00F27D78">
              <w:rPr>
                <w:bCs/>
                <w:sz w:val="26"/>
                <w:szCs w:val="26"/>
              </w:rPr>
              <w:t>KT.CHÁNH THANH TRA</w:t>
            </w:r>
          </w:p>
          <w:p w:rsidR="00FE5DDF" w:rsidRPr="00F27D78" w:rsidRDefault="00FE5DDF" w:rsidP="00B847D0">
            <w:pPr>
              <w:jc w:val="center"/>
              <w:rPr>
                <w:b/>
                <w:sz w:val="26"/>
                <w:szCs w:val="26"/>
              </w:rPr>
            </w:pPr>
            <w:r w:rsidRPr="00F27D78">
              <w:rPr>
                <w:b/>
                <w:sz w:val="26"/>
                <w:szCs w:val="26"/>
              </w:rPr>
              <w:t>PHÓ CHÁNH THANH TRA</w:t>
            </w:r>
          </w:p>
          <w:p w:rsidR="00FE5DDF" w:rsidRPr="00F27D78" w:rsidRDefault="00FE5DDF" w:rsidP="00B847D0">
            <w:pPr>
              <w:jc w:val="center"/>
              <w:rPr>
                <w:b/>
                <w:sz w:val="26"/>
                <w:szCs w:val="26"/>
              </w:rPr>
            </w:pPr>
          </w:p>
          <w:p w:rsidR="005A7A1F" w:rsidRDefault="005A7A1F" w:rsidP="00B847D0">
            <w:pPr>
              <w:jc w:val="center"/>
              <w:rPr>
                <w:b/>
                <w:sz w:val="26"/>
                <w:szCs w:val="26"/>
              </w:rPr>
            </w:pPr>
          </w:p>
          <w:p w:rsidR="00605284" w:rsidRDefault="00605284" w:rsidP="00B847D0">
            <w:pPr>
              <w:jc w:val="center"/>
              <w:rPr>
                <w:b/>
                <w:sz w:val="26"/>
                <w:szCs w:val="26"/>
              </w:rPr>
            </w:pPr>
          </w:p>
          <w:p w:rsidR="00B45D05" w:rsidRPr="00F27D78" w:rsidRDefault="00B45D05" w:rsidP="00B847D0">
            <w:pPr>
              <w:jc w:val="center"/>
              <w:rPr>
                <w:b/>
                <w:sz w:val="26"/>
                <w:szCs w:val="26"/>
              </w:rPr>
            </w:pPr>
          </w:p>
          <w:p w:rsidR="00FE5DDF" w:rsidRPr="00F27D78" w:rsidRDefault="00FE5DDF" w:rsidP="00B847D0">
            <w:pPr>
              <w:rPr>
                <w:b/>
                <w:bCs/>
                <w:sz w:val="26"/>
                <w:szCs w:val="26"/>
              </w:rPr>
            </w:pPr>
          </w:p>
          <w:p w:rsidR="00FE5DDF" w:rsidRPr="00F27D78" w:rsidRDefault="00FE5DDF" w:rsidP="00B847D0">
            <w:pPr>
              <w:jc w:val="center"/>
              <w:rPr>
                <w:b/>
                <w:bCs/>
                <w:sz w:val="28"/>
                <w:szCs w:val="28"/>
              </w:rPr>
            </w:pPr>
            <w:r w:rsidRPr="00F27D78">
              <w:rPr>
                <w:b/>
                <w:sz w:val="28"/>
                <w:szCs w:val="28"/>
              </w:rPr>
              <w:t>Phan Tiến Phú</w:t>
            </w:r>
          </w:p>
        </w:tc>
      </w:tr>
    </w:tbl>
    <w:p w:rsidR="00136E6C" w:rsidRPr="00675356" w:rsidRDefault="00136E6C" w:rsidP="00675356">
      <w:pPr>
        <w:tabs>
          <w:tab w:val="left" w:pos="5836"/>
        </w:tabs>
      </w:pPr>
    </w:p>
    <w:sectPr w:rsidR="00136E6C" w:rsidRPr="00675356" w:rsidSect="00AD43EB">
      <w:headerReference w:type="default" r:id="rId9"/>
      <w:footerReference w:type="default" r:id="rId10"/>
      <w:pgSz w:w="11907" w:h="16840" w:code="9"/>
      <w:pgMar w:top="1134" w:right="851" w:bottom="1134" w:left="1701" w:header="567" w:footer="567"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9D" w:rsidRDefault="00F3579D" w:rsidP="00FE5DDF">
      <w:r>
        <w:separator/>
      </w:r>
    </w:p>
  </w:endnote>
  <w:endnote w:type="continuationSeparator" w:id="0">
    <w:p w:rsidR="00F3579D" w:rsidRDefault="00F3579D" w:rsidP="00F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9F" w:rsidRPr="00BC1DD9" w:rsidRDefault="0025349F">
    <w:pPr>
      <w:pStyle w:val="Footer"/>
      <w:jc w:val="center"/>
      <w:rPr>
        <w:rFonts w:asciiTheme="majorHAnsi" w:hAnsiTheme="majorHAnsi" w:cstheme="majorHAnsi"/>
      </w:rPr>
    </w:pPr>
  </w:p>
  <w:p w:rsidR="0025349F" w:rsidRDefault="0025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9D" w:rsidRDefault="00F3579D" w:rsidP="00FE5DDF">
      <w:r>
        <w:separator/>
      </w:r>
    </w:p>
  </w:footnote>
  <w:footnote w:type="continuationSeparator" w:id="0">
    <w:p w:rsidR="00F3579D" w:rsidRDefault="00F3579D" w:rsidP="00FE5DDF">
      <w:r>
        <w:continuationSeparator/>
      </w:r>
    </w:p>
  </w:footnote>
  <w:footnote w:id="1">
    <w:p w:rsidR="0025349F" w:rsidRDefault="0025349F" w:rsidP="00AD43EB">
      <w:pPr>
        <w:pStyle w:val="FootnoteText"/>
        <w:tabs>
          <w:tab w:val="left" w:pos="2694"/>
        </w:tabs>
        <w:ind w:firstLine="709"/>
        <w:jc w:val="both"/>
      </w:pPr>
      <w:r>
        <w:rPr>
          <w:rStyle w:val="FootnoteReference"/>
        </w:rPr>
        <w:footnoteRef/>
      </w:r>
      <w:r>
        <w:t xml:space="preserve"> Sinh ngày 20/4/1966, dân tộc Kinh, Quốc tịch: Việt Nam, </w:t>
      </w:r>
      <w:r w:rsidR="00AD43EB">
        <w:rPr>
          <w:lang w:val="en-US"/>
        </w:rPr>
        <w:t>CMND</w:t>
      </w:r>
      <w:r>
        <w:t xml:space="preserve"> số 021972852 do Công an Tp Hồ Chí Minh cấp ngày 13/8/2012; nơi đăng ký</w:t>
      </w:r>
      <w:r w:rsidR="00AD43EB">
        <w:rPr>
          <w:lang w:val="en-US"/>
        </w:rPr>
        <w:t xml:space="preserve"> HKTT</w:t>
      </w:r>
      <w:r>
        <w:t>: 120/29B Trần Bình Trọng, phường 2, Quận 5, T</w:t>
      </w:r>
      <w:r>
        <w:rPr>
          <w:lang w:val="en-US"/>
        </w:rPr>
        <w:t>p</w:t>
      </w:r>
      <w:r>
        <w:t xml:space="preserve"> Hồ Chí Minh</w:t>
      </w:r>
    </w:p>
  </w:footnote>
  <w:footnote w:id="2">
    <w:p w:rsidR="00402501" w:rsidRDefault="0025349F" w:rsidP="000D7E6B">
      <w:pPr>
        <w:tabs>
          <w:tab w:val="left" w:pos="2694"/>
        </w:tabs>
        <w:ind w:firstLine="709"/>
        <w:jc w:val="both"/>
        <w:rPr>
          <w:sz w:val="20"/>
          <w:szCs w:val="20"/>
          <w:lang w:val="vi-VN"/>
        </w:rPr>
      </w:pPr>
      <w:r w:rsidRPr="000D302F">
        <w:rPr>
          <w:rStyle w:val="FootnoteReference"/>
          <w:sz w:val="20"/>
          <w:szCs w:val="20"/>
        </w:rPr>
        <w:footnoteRef/>
      </w:r>
      <w:r w:rsidRPr="00BC74E8">
        <w:rPr>
          <w:sz w:val="20"/>
          <w:szCs w:val="20"/>
          <w:lang w:val="nl-NL"/>
        </w:rPr>
        <w:t xml:space="preserve">(1) </w:t>
      </w:r>
      <w:r w:rsidRPr="00B701D5">
        <w:rPr>
          <w:sz w:val="20"/>
          <w:szCs w:val="20"/>
          <w:lang w:val="vi-VN"/>
        </w:rPr>
        <w:t>Ngân hàng TMCP Công thương V</w:t>
      </w:r>
      <w:r w:rsidR="00AD43EB" w:rsidRPr="000D7E6B">
        <w:rPr>
          <w:sz w:val="20"/>
          <w:szCs w:val="20"/>
          <w:lang w:val="vi-VN"/>
        </w:rPr>
        <w:t>N</w:t>
      </w:r>
      <w:r w:rsidR="00402501" w:rsidRPr="000D7E6B">
        <w:rPr>
          <w:sz w:val="20"/>
          <w:szCs w:val="20"/>
          <w:lang w:val="vi-VN"/>
        </w:rPr>
        <w:t>-</w:t>
      </w:r>
      <w:r w:rsidRPr="00B701D5">
        <w:rPr>
          <w:sz w:val="20"/>
          <w:szCs w:val="20"/>
          <w:lang w:val="vi-VN"/>
        </w:rPr>
        <w:t xml:space="preserve"> Chi nhánh Hà Tĩnh</w:t>
      </w:r>
      <w:r w:rsidRPr="00BC74E8">
        <w:rPr>
          <w:sz w:val="20"/>
          <w:szCs w:val="20"/>
          <w:lang w:val="nl-NL"/>
        </w:rPr>
        <w:t>,</w:t>
      </w:r>
      <w:r w:rsidR="00AD43EB" w:rsidRPr="000D7E6B">
        <w:rPr>
          <w:sz w:val="20"/>
          <w:szCs w:val="20"/>
          <w:lang w:val="vi-VN"/>
        </w:rPr>
        <w:t>s</w:t>
      </w:r>
      <w:r w:rsidRPr="00BC74E8">
        <w:rPr>
          <w:sz w:val="20"/>
          <w:szCs w:val="20"/>
          <w:lang w:val="nl-NL"/>
        </w:rPr>
        <w:t>ố TK</w:t>
      </w:r>
      <w:r w:rsidRPr="00BC74E8">
        <w:rPr>
          <w:sz w:val="20"/>
          <w:szCs w:val="20"/>
          <w:lang w:val="vi-VN"/>
        </w:rPr>
        <w:t xml:space="preserve">: </w:t>
      </w:r>
      <w:r w:rsidRPr="00B701D5">
        <w:rPr>
          <w:sz w:val="20"/>
          <w:szCs w:val="20"/>
          <w:lang w:val="vi-VN"/>
        </w:rPr>
        <w:t>117000094093</w:t>
      </w:r>
      <w:r w:rsidRPr="00BC74E8">
        <w:rPr>
          <w:sz w:val="20"/>
          <w:szCs w:val="20"/>
          <w:lang w:val="nl-NL"/>
        </w:rPr>
        <w:t xml:space="preserve">; (2) </w:t>
      </w:r>
      <w:r w:rsidRPr="00B701D5">
        <w:rPr>
          <w:sz w:val="20"/>
          <w:szCs w:val="20"/>
          <w:lang w:val="vi-VN"/>
        </w:rPr>
        <w:t>Ngân hàng NN&amp;PTNT V</w:t>
      </w:r>
      <w:r w:rsidR="00481F07" w:rsidRPr="000D7E6B">
        <w:rPr>
          <w:sz w:val="20"/>
          <w:szCs w:val="20"/>
          <w:lang w:val="vi-VN"/>
        </w:rPr>
        <w:t>N</w:t>
      </w:r>
      <w:r w:rsidRPr="00B701D5">
        <w:rPr>
          <w:sz w:val="20"/>
          <w:szCs w:val="20"/>
          <w:lang w:val="vi-VN"/>
        </w:rPr>
        <w:t xml:space="preserve"> </w:t>
      </w:r>
      <w:r w:rsidR="00402501" w:rsidRPr="000D7E6B">
        <w:rPr>
          <w:sz w:val="20"/>
          <w:szCs w:val="20"/>
          <w:lang w:val="vi-VN"/>
        </w:rPr>
        <w:t>-</w:t>
      </w:r>
      <w:r w:rsidRPr="00B701D5">
        <w:rPr>
          <w:sz w:val="20"/>
          <w:szCs w:val="20"/>
          <w:lang w:val="vi-VN"/>
        </w:rPr>
        <w:t xml:space="preserve"> Chi nhánh Trungtâm Sài Gòn</w:t>
      </w:r>
      <w:r w:rsidRPr="00BC74E8">
        <w:rPr>
          <w:sz w:val="20"/>
          <w:szCs w:val="20"/>
          <w:lang w:val="nl-NL"/>
        </w:rPr>
        <w:t>,</w:t>
      </w:r>
      <w:r w:rsidR="00AD43EB" w:rsidRPr="000D7E6B">
        <w:rPr>
          <w:sz w:val="20"/>
          <w:szCs w:val="20"/>
          <w:lang w:val="vi-VN"/>
        </w:rPr>
        <w:t>s</w:t>
      </w:r>
      <w:r w:rsidRPr="00BC74E8">
        <w:rPr>
          <w:sz w:val="20"/>
          <w:szCs w:val="20"/>
          <w:lang w:val="nl-NL"/>
        </w:rPr>
        <w:t>ố TK</w:t>
      </w:r>
      <w:r w:rsidRPr="00BC74E8">
        <w:rPr>
          <w:sz w:val="20"/>
          <w:szCs w:val="20"/>
          <w:lang w:val="vi-VN"/>
        </w:rPr>
        <w:t xml:space="preserve">: </w:t>
      </w:r>
      <w:r w:rsidRPr="00B701D5">
        <w:rPr>
          <w:sz w:val="20"/>
          <w:szCs w:val="20"/>
          <w:lang w:val="vi-VN"/>
        </w:rPr>
        <w:t>1900201448147</w:t>
      </w:r>
      <w:r w:rsidRPr="00BC74E8">
        <w:rPr>
          <w:sz w:val="20"/>
          <w:szCs w:val="20"/>
          <w:lang w:val="nl-NL"/>
        </w:rPr>
        <w:t xml:space="preserve">; (3) </w:t>
      </w:r>
      <w:r w:rsidRPr="00B701D5">
        <w:rPr>
          <w:sz w:val="20"/>
          <w:szCs w:val="20"/>
          <w:lang w:val="vi-VN"/>
        </w:rPr>
        <w:t>Ngân hàng TMCP Ngoại thương V</w:t>
      </w:r>
      <w:r w:rsidR="00AD43EB" w:rsidRPr="000D7E6B">
        <w:rPr>
          <w:sz w:val="20"/>
          <w:szCs w:val="20"/>
          <w:lang w:val="vi-VN"/>
        </w:rPr>
        <w:t>N</w:t>
      </w:r>
      <w:r w:rsidR="00402501" w:rsidRPr="000D7E6B">
        <w:rPr>
          <w:sz w:val="20"/>
          <w:szCs w:val="20"/>
          <w:lang w:val="vi-VN"/>
        </w:rPr>
        <w:t>-</w:t>
      </w:r>
      <w:r w:rsidRPr="00B701D5">
        <w:rPr>
          <w:sz w:val="20"/>
          <w:szCs w:val="20"/>
          <w:lang w:val="vi-VN"/>
        </w:rPr>
        <w:t>Chi nhánh Hà Tĩnh</w:t>
      </w:r>
      <w:r w:rsidRPr="00BC74E8">
        <w:rPr>
          <w:sz w:val="20"/>
          <w:szCs w:val="20"/>
          <w:lang w:val="nl-NL"/>
        </w:rPr>
        <w:t>,</w:t>
      </w:r>
      <w:r w:rsidR="00AD43EB" w:rsidRPr="000D7E6B">
        <w:rPr>
          <w:sz w:val="20"/>
          <w:szCs w:val="20"/>
          <w:lang w:val="vi-VN"/>
        </w:rPr>
        <w:t>s</w:t>
      </w:r>
      <w:r w:rsidRPr="00BC74E8">
        <w:rPr>
          <w:sz w:val="20"/>
          <w:szCs w:val="20"/>
          <w:lang w:val="nl-NL"/>
        </w:rPr>
        <w:t>ố TK</w:t>
      </w:r>
      <w:r w:rsidRPr="00BC74E8">
        <w:rPr>
          <w:sz w:val="20"/>
          <w:szCs w:val="20"/>
          <w:lang w:val="vi-VN"/>
        </w:rPr>
        <w:t xml:space="preserve">: </w:t>
      </w:r>
      <w:r w:rsidRPr="00B701D5">
        <w:rPr>
          <w:sz w:val="20"/>
          <w:szCs w:val="20"/>
          <w:lang w:val="vi-VN"/>
        </w:rPr>
        <w:t>0201000456788</w:t>
      </w:r>
      <w:r w:rsidRPr="00BC74E8">
        <w:rPr>
          <w:sz w:val="20"/>
          <w:szCs w:val="20"/>
          <w:lang w:val="nl-NL"/>
        </w:rPr>
        <w:t xml:space="preserve">; (4) </w:t>
      </w:r>
      <w:r w:rsidRPr="00B701D5">
        <w:rPr>
          <w:sz w:val="20"/>
          <w:szCs w:val="20"/>
          <w:lang w:val="vi-VN"/>
        </w:rPr>
        <w:t>Ngân hàng NN&amp;PTNT V</w:t>
      </w:r>
      <w:r w:rsidR="00481F07" w:rsidRPr="000D7E6B">
        <w:rPr>
          <w:sz w:val="20"/>
          <w:szCs w:val="20"/>
          <w:lang w:val="vi-VN"/>
        </w:rPr>
        <w:t>N</w:t>
      </w:r>
      <w:r w:rsidRPr="00B701D5">
        <w:rPr>
          <w:sz w:val="20"/>
          <w:szCs w:val="20"/>
          <w:lang w:val="vi-VN"/>
        </w:rPr>
        <w:t xml:space="preserve"> </w:t>
      </w:r>
      <w:r w:rsidR="00402501" w:rsidRPr="000D7E6B">
        <w:rPr>
          <w:sz w:val="20"/>
          <w:szCs w:val="20"/>
          <w:lang w:val="vi-VN"/>
        </w:rPr>
        <w:t>-</w:t>
      </w:r>
      <w:r w:rsidRPr="00B701D5">
        <w:rPr>
          <w:sz w:val="20"/>
          <w:szCs w:val="20"/>
          <w:lang w:val="vi-VN"/>
        </w:rPr>
        <w:t xml:space="preserve"> Chi nhánh Hà Tĩnh</w:t>
      </w:r>
      <w:r w:rsidRPr="00BC74E8">
        <w:rPr>
          <w:sz w:val="20"/>
          <w:szCs w:val="20"/>
          <w:lang w:val="nl-NL"/>
        </w:rPr>
        <w:t>,</w:t>
      </w:r>
      <w:r w:rsidR="00AD43EB" w:rsidRPr="000D7E6B">
        <w:rPr>
          <w:sz w:val="20"/>
          <w:szCs w:val="20"/>
          <w:lang w:val="vi-VN"/>
        </w:rPr>
        <w:t>s</w:t>
      </w:r>
      <w:r w:rsidRPr="00BC74E8">
        <w:rPr>
          <w:sz w:val="20"/>
          <w:szCs w:val="20"/>
          <w:lang w:val="nl-NL"/>
        </w:rPr>
        <w:t>ố TK</w:t>
      </w:r>
      <w:r w:rsidRPr="00BC74E8">
        <w:rPr>
          <w:sz w:val="20"/>
          <w:szCs w:val="20"/>
          <w:lang w:val="vi-VN"/>
        </w:rPr>
        <w:t xml:space="preserve">: </w:t>
      </w:r>
      <w:r w:rsidRPr="00B701D5">
        <w:rPr>
          <w:sz w:val="20"/>
          <w:szCs w:val="20"/>
          <w:lang w:val="vi-VN"/>
        </w:rPr>
        <w:t xml:space="preserve">3700201006523; </w:t>
      </w:r>
      <w:r w:rsidRPr="00BC74E8">
        <w:rPr>
          <w:sz w:val="20"/>
          <w:szCs w:val="20"/>
          <w:lang w:val="nl-NL"/>
        </w:rPr>
        <w:t xml:space="preserve">(5) </w:t>
      </w:r>
      <w:r w:rsidRPr="00B701D5">
        <w:rPr>
          <w:sz w:val="20"/>
          <w:szCs w:val="20"/>
          <w:lang w:val="vi-VN"/>
        </w:rPr>
        <w:t>Ngân hàng NN&amp;PTNT V</w:t>
      </w:r>
      <w:r w:rsidR="00AD43EB" w:rsidRPr="000D7E6B">
        <w:rPr>
          <w:sz w:val="20"/>
          <w:szCs w:val="20"/>
          <w:lang w:val="vi-VN"/>
        </w:rPr>
        <w:t>N</w:t>
      </w:r>
      <w:r w:rsidR="00402501" w:rsidRPr="000D7E6B">
        <w:rPr>
          <w:sz w:val="20"/>
          <w:szCs w:val="20"/>
          <w:lang w:val="vi-VN"/>
        </w:rPr>
        <w:t>-</w:t>
      </w:r>
      <w:r w:rsidRPr="00B701D5">
        <w:rPr>
          <w:sz w:val="20"/>
          <w:szCs w:val="20"/>
          <w:lang w:val="vi-VN"/>
        </w:rPr>
        <w:t xml:space="preserve"> Chi nhánh Hà Tĩnh II</w:t>
      </w:r>
      <w:r w:rsidRPr="00BC74E8">
        <w:rPr>
          <w:sz w:val="20"/>
          <w:szCs w:val="20"/>
          <w:lang w:val="nl-NL"/>
        </w:rPr>
        <w:t>,</w:t>
      </w:r>
      <w:r w:rsidR="00AD43EB" w:rsidRPr="000D7E6B">
        <w:rPr>
          <w:sz w:val="20"/>
          <w:szCs w:val="20"/>
          <w:lang w:val="vi-VN"/>
        </w:rPr>
        <w:t>s</w:t>
      </w:r>
      <w:r w:rsidRPr="00BC74E8">
        <w:rPr>
          <w:sz w:val="20"/>
          <w:szCs w:val="20"/>
          <w:lang w:val="nl-NL"/>
        </w:rPr>
        <w:t>ố TK</w:t>
      </w:r>
      <w:r w:rsidRPr="00BC74E8">
        <w:rPr>
          <w:sz w:val="20"/>
          <w:szCs w:val="20"/>
          <w:lang w:val="vi-VN"/>
        </w:rPr>
        <w:t>:</w:t>
      </w:r>
      <w:r w:rsidRPr="00B701D5">
        <w:rPr>
          <w:sz w:val="20"/>
          <w:szCs w:val="20"/>
          <w:lang w:val="vi-VN"/>
        </w:rPr>
        <w:t xml:space="preserve"> 3701201007620</w:t>
      </w:r>
      <w:r w:rsidRPr="00F763ED">
        <w:rPr>
          <w:sz w:val="20"/>
          <w:szCs w:val="20"/>
          <w:lang w:val="nl-NL"/>
        </w:rPr>
        <w:t>.</w:t>
      </w:r>
    </w:p>
  </w:footnote>
  <w:footnote w:id="3">
    <w:p w:rsidR="00402501" w:rsidRDefault="0025349F" w:rsidP="000D7E6B">
      <w:pPr>
        <w:pStyle w:val="FootnoteText"/>
        <w:tabs>
          <w:tab w:val="left" w:pos="2694"/>
        </w:tabs>
      </w:pPr>
      <w:r>
        <w:rPr>
          <w:rStyle w:val="FootnoteReference"/>
        </w:rPr>
        <w:footnoteRef/>
      </w:r>
      <w:r w:rsidRPr="00B701D5">
        <w:t xml:space="preserve">Năm 2019: </w:t>
      </w:r>
      <w:r w:rsidRPr="006D788C">
        <w:rPr>
          <w:rFonts w:asciiTheme="majorHAnsi" w:hAnsiTheme="majorHAnsi" w:cstheme="majorHAnsi"/>
          <w:lang w:val="nl-NL"/>
        </w:rPr>
        <w:t xml:space="preserve"> 05 người lao động ký hợp đồng xác định thời hạ</w:t>
      </w:r>
      <w:r>
        <w:rPr>
          <w:rFonts w:asciiTheme="majorHAnsi" w:hAnsiTheme="majorHAnsi" w:cstheme="majorHAnsi"/>
          <w:lang w:val="nl-NL"/>
        </w:rPr>
        <w:t xml:space="preserve">n và </w:t>
      </w:r>
      <w:r w:rsidRPr="006D788C">
        <w:rPr>
          <w:rFonts w:asciiTheme="majorHAnsi" w:hAnsiTheme="majorHAnsi" w:cstheme="majorHAnsi"/>
          <w:lang w:val="nl-NL"/>
        </w:rPr>
        <w:t xml:space="preserve">109 </w:t>
      </w:r>
      <w:r>
        <w:rPr>
          <w:rFonts w:asciiTheme="majorHAnsi" w:hAnsiTheme="majorHAnsi" w:cstheme="majorHAnsi"/>
          <w:lang w:val="nl-NL"/>
        </w:rPr>
        <w:t xml:space="preserve">người </w:t>
      </w:r>
      <w:r w:rsidRPr="006D788C">
        <w:rPr>
          <w:rFonts w:asciiTheme="majorHAnsi" w:hAnsiTheme="majorHAnsi" w:cstheme="majorHAnsi"/>
          <w:lang w:val="nl-NL"/>
        </w:rPr>
        <w:t>ký hợp đồng lao động không xác định thời hạn</w:t>
      </w:r>
      <w:r>
        <w:rPr>
          <w:rFonts w:asciiTheme="majorHAnsi" w:hAnsiTheme="majorHAnsi" w:cstheme="majorHAnsi"/>
          <w:lang w:val="nl-NL"/>
        </w:rPr>
        <w:t xml:space="preserve">; Năm 2020: </w:t>
      </w:r>
      <w:r w:rsidRPr="006D788C">
        <w:rPr>
          <w:rFonts w:asciiTheme="majorHAnsi" w:hAnsiTheme="majorHAnsi" w:cstheme="majorHAnsi"/>
        </w:rPr>
        <w:t>06 người lao động ký hợp đồng xác định thời hạ</w:t>
      </w:r>
      <w:r>
        <w:rPr>
          <w:rFonts w:asciiTheme="majorHAnsi" w:hAnsiTheme="majorHAnsi" w:cstheme="majorHAnsi"/>
        </w:rPr>
        <w:t>n</w:t>
      </w:r>
      <w:r w:rsidRPr="00B701D5">
        <w:rPr>
          <w:rFonts w:asciiTheme="majorHAnsi" w:hAnsiTheme="majorHAnsi" w:cstheme="majorHAnsi"/>
        </w:rPr>
        <w:t xml:space="preserve"> và</w:t>
      </w:r>
      <w:r w:rsidRPr="006D788C">
        <w:rPr>
          <w:rFonts w:asciiTheme="majorHAnsi" w:hAnsiTheme="majorHAnsi" w:cstheme="majorHAnsi"/>
        </w:rPr>
        <w:t xml:space="preserve"> 108 lao động ký hợp đồng lao động không xác định thời hạn</w:t>
      </w:r>
    </w:p>
  </w:footnote>
  <w:footnote w:id="4">
    <w:p w:rsidR="00402501" w:rsidRDefault="0025349F" w:rsidP="000D7E6B">
      <w:pPr>
        <w:pStyle w:val="FootnoteText"/>
        <w:tabs>
          <w:tab w:val="left" w:pos="2694"/>
        </w:tabs>
        <w:jc w:val="both"/>
      </w:pPr>
      <w:r w:rsidRPr="00A9733A">
        <w:rPr>
          <w:rStyle w:val="FootnoteReference"/>
        </w:rPr>
        <w:footnoteRef/>
      </w:r>
      <w:r w:rsidRPr="00A9733A">
        <w:t>V</w:t>
      </w:r>
      <w:r w:rsidRPr="00A9733A">
        <w:rPr>
          <w:bCs/>
        </w:rPr>
        <w:t xml:space="preserve">ề việc hướng dẫn một số điều tại Nghị định số 03/2014/NĐ-CP ngày 16/1/2014 của Chính phủ quy định chi tiết một số điều của Bộ </w:t>
      </w:r>
      <w:r w:rsidR="00182DA8" w:rsidRPr="000D7E6B">
        <w:rPr>
          <w:bCs/>
        </w:rPr>
        <w:t>l</w:t>
      </w:r>
      <w:r w:rsidRPr="00A9733A">
        <w:rPr>
          <w:bCs/>
        </w:rPr>
        <w:t>uật</w:t>
      </w:r>
      <w:r w:rsidR="00182DA8" w:rsidRPr="000D7E6B">
        <w:rPr>
          <w:bCs/>
        </w:rPr>
        <w:t xml:space="preserve"> L</w:t>
      </w:r>
      <w:r w:rsidRPr="00A9733A">
        <w:rPr>
          <w:bCs/>
        </w:rPr>
        <w:t>ao động về việc làm</w:t>
      </w:r>
    </w:p>
  </w:footnote>
  <w:footnote w:id="5">
    <w:p w:rsidR="00402501" w:rsidRDefault="0025349F" w:rsidP="000D7E6B">
      <w:pPr>
        <w:tabs>
          <w:tab w:val="left" w:pos="2694"/>
        </w:tabs>
        <w:ind w:firstLine="709"/>
        <w:jc w:val="both"/>
        <w:rPr>
          <w:sz w:val="20"/>
          <w:szCs w:val="20"/>
          <w:lang w:val="vi-VN"/>
        </w:rPr>
      </w:pPr>
      <w:r w:rsidRPr="004C48B8">
        <w:rPr>
          <w:rStyle w:val="FootnoteReference"/>
          <w:sz w:val="20"/>
          <w:szCs w:val="20"/>
        </w:rPr>
        <w:footnoteRef/>
      </w:r>
      <w:r w:rsidRPr="00A864EE">
        <w:rPr>
          <w:sz w:val="20"/>
          <w:szCs w:val="20"/>
          <w:lang w:val="vi-VN"/>
        </w:rPr>
        <w:t xml:space="preserve">Lý do được miễn: </w:t>
      </w:r>
      <w:r w:rsidRPr="00A864EE">
        <w:rPr>
          <w:sz w:val="20"/>
          <w:szCs w:val="20"/>
          <w:lang w:val="pt-BR"/>
        </w:rPr>
        <w:t xml:space="preserve">Căn cứ tại Điểm b Khoản 3 Điều 19 Nghị định số 46/2014/NĐ-CP ngày 15/5/2014 của Chính phủ về </w:t>
      </w:r>
      <w:r w:rsidRPr="00A864EE">
        <w:rPr>
          <w:sz w:val="20"/>
          <w:szCs w:val="20"/>
          <w:lang w:val="vi-VN"/>
        </w:rPr>
        <w:t>về thu tiền thuê đất, thuê mặt nước:</w:t>
      </w:r>
      <w:r w:rsidRPr="00B701D5">
        <w:rPr>
          <w:sz w:val="20"/>
          <w:szCs w:val="20"/>
          <w:lang w:val="vi-VN"/>
        </w:rPr>
        <w:t xml:space="preserve"> “Miễn tiền thuê đấtb</w:t>
      </w:r>
      <w:r w:rsidRPr="00A864EE">
        <w:rPr>
          <w:sz w:val="20"/>
          <w:szCs w:val="20"/>
          <w:lang w:val="vi-VN"/>
        </w:rPr>
        <w:t>ảy (07) năm đối với dự án đầu tư vào địa bàn có điều kiện kinh tế xã hội khó khăn”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98259"/>
      <w:docPartObj>
        <w:docPartGallery w:val="Page Numbers (Top of Page)"/>
        <w:docPartUnique/>
      </w:docPartObj>
    </w:sdtPr>
    <w:sdtEndPr>
      <w:rPr>
        <w:noProof/>
        <w:sz w:val="28"/>
        <w:szCs w:val="28"/>
      </w:rPr>
    </w:sdtEndPr>
    <w:sdtContent>
      <w:p w:rsidR="0025349F" w:rsidRPr="000D7E6B" w:rsidRDefault="00402501">
        <w:pPr>
          <w:pStyle w:val="Header"/>
          <w:jc w:val="center"/>
          <w:rPr>
            <w:sz w:val="28"/>
            <w:szCs w:val="28"/>
          </w:rPr>
        </w:pPr>
        <w:r w:rsidRPr="000D7E6B">
          <w:rPr>
            <w:sz w:val="28"/>
            <w:szCs w:val="28"/>
          </w:rPr>
          <w:fldChar w:fldCharType="begin"/>
        </w:r>
        <w:r w:rsidRPr="000D7E6B">
          <w:rPr>
            <w:sz w:val="28"/>
            <w:szCs w:val="28"/>
          </w:rPr>
          <w:instrText xml:space="preserve"> PAGE   \* MERGEFORMAT </w:instrText>
        </w:r>
        <w:r w:rsidRPr="000D7E6B">
          <w:rPr>
            <w:sz w:val="28"/>
            <w:szCs w:val="28"/>
          </w:rPr>
          <w:fldChar w:fldCharType="separate"/>
        </w:r>
        <w:r w:rsidR="00FD5D1B">
          <w:rPr>
            <w:noProof/>
            <w:sz w:val="28"/>
            <w:szCs w:val="28"/>
          </w:rPr>
          <w:t>9</w:t>
        </w:r>
        <w:r w:rsidRPr="000D7E6B">
          <w:rPr>
            <w:noProof/>
            <w:sz w:val="28"/>
            <w:szCs w:val="28"/>
          </w:rPr>
          <w:fldChar w:fldCharType="end"/>
        </w:r>
      </w:p>
    </w:sdtContent>
  </w:sdt>
  <w:p w:rsidR="0025349F" w:rsidRDefault="0025349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DF"/>
    <w:rsid w:val="00004731"/>
    <w:rsid w:val="00004822"/>
    <w:rsid w:val="00005C02"/>
    <w:rsid w:val="000114AB"/>
    <w:rsid w:val="00014407"/>
    <w:rsid w:val="0001625C"/>
    <w:rsid w:val="00017A45"/>
    <w:rsid w:val="0003298A"/>
    <w:rsid w:val="0004042F"/>
    <w:rsid w:val="00042A9B"/>
    <w:rsid w:val="00044D8D"/>
    <w:rsid w:val="0005036F"/>
    <w:rsid w:val="00051263"/>
    <w:rsid w:val="0005175D"/>
    <w:rsid w:val="00052431"/>
    <w:rsid w:val="0005356E"/>
    <w:rsid w:val="00057DB7"/>
    <w:rsid w:val="00061648"/>
    <w:rsid w:val="00062AC7"/>
    <w:rsid w:val="00064B16"/>
    <w:rsid w:val="00067528"/>
    <w:rsid w:val="00070C0A"/>
    <w:rsid w:val="00086A1E"/>
    <w:rsid w:val="00087EAA"/>
    <w:rsid w:val="00093227"/>
    <w:rsid w:val="00097ACA"/>
    <w:rsid w:val="00097EF5"/>
    <w:rsid w:val="000A335F"/>
    <w:rsid w:val="000A430E"/>
    <w:rsid w:val="000A44C8"/>
    <w:rsid w:val="000B308A"/>
    <w:rsid w:val="000B40FF"/>
    <w:rsid w:val="000B5470"/>
    <w:rsid w:val="000B54D3"/>
    <w:rsid w:val="000C1BB1"/>
    <w:rsid w:val="000C33C6"/>
    <w:rsid w:val="000C3F22"/>
    <w:rsid w:val="000C4FB7"/>
    <w:rsid w:val="000D302F"/>
    <w:rsid w:val="000D3985"/>
    <w:rsid w:val="000D7E6B"/>
    <w:rsid w:val="000E1914"/>
    <w:rsid w:val="000F282A"/>
    <w:rsid w:val="000F2C19"/>
    <w:rsid w:val="000F5A92"/>
    <w:rsid w:val="000F5FCB"/>
    <w:rsid w:val="00103F3A"/>
    <w:rsid w:val="00104FD7"/>
    <w:rsid w:val="0010552E"/>
    <w:rsid w:val="001057D9"/>
    <w:rsid w:val="00111D01"/>
    <w:rsid w:val="00116807"/>
    <w:rsid w:val="001175BF"/>
    <w:rsid w:val="0011780A"/>
    <w:rsid w:val="0011780C"/>
    <w:rsid w:val="00123722"/>
    <w:rsid w:val="001250AB"/>
    <w:rsid w:val="00126EF8"/>
    <w:rsid w:val="00136E6C"/>
    <w:rsid w:val="00144C41"/>
    <w:rsid w:val="00146FC1"/>
    <w:rsid w:val="00152646"/>
    <w:rsid w:val="001545F1"/>
    <w:rsid w:val="00157B57"/>
    <w:rsid w:val="001625C1"/>
    <w:rsid w:val="00162F11"/>
    <w:rsid w:val="00164514"/>
    <w:rsid w:val="00164D9F"/>
    <w:rsid w:val="001750F5"/>
    <w:rsid w:val="00180AAF"/>
    <w:rsid w:val="00182DA8"/>
    <w:rsid w:val="00186810"/>
    <w:rsid w:val="00197A91"/>
    <w:rsid w:val="001B0C19"/>
    <w:rsid w:val="001B2262"/>
    <w:rsid w:val="001C1010"/>
    <w:rsid w:val="001C7B26"/>
    <w:rsid w:val="001D010A"/>
    <w:rsid w:val="001D1C60"/>
    <w:rsid w:val="001D3519"/>
    <w:rsid w:val="001D5232"/>
    <w:rsid w:val="001D5FFD"/>
    <w:rsid w:val="001D6C4B"/>
    <w:rsid w:val="001E2E3F"/>
    <w:rsid w:val="001E4769"/>
    <w:rsid w:val="001E4DB5"/>
    <w:rsid w:val="001E5FA4"/>
    <w:rsid w:val="001F2E0E"/>
    <w:rsid w:val="00204621"/>
    <w:rsid w:val="00211C88"/>
    <w:rsid w:val="002126D4"/>
    <w:rsid w:val="002147A3"/>
    <w:rsid w:val="0022247D"/>
    <w:rsid w:val="00223B43"/>
    <w:rsid w:val="002275EE"/>
    <w:rsid w:val="0023265E"/>
    <w:rsid w:val="002378F2"/>
    <w:rsid w:val="0024030C"/>
    <w:rsid w:val="002404CA"/>
    <w:rsid w:val="00241B5E"/>
    <w:rsid w:val="002437AB"/>
    <w:rsid w:val="00251090"/>
    <w:rsid w:val="0025349F"/>
    <w:rsid w:val="00253D71"/>
    <w:rsid w:val="00256051"/>
    <w:rsid w:val="00257B46"/>
    <w:rsid w:val="00257D15"/>
    <w:rsid w:val="00260684"/>
    <w:rsid w:val="00261CAB"/>
    <w:rsid w:val="00262068"/>
    <w:rsid w:val="002632F1"/>
    <w:rsid w:val="002637D0"/>
    <w:rsid w:val="00264800"/>
    <w:rsid w:val="00267C6A"/>
    <w:rsid w:val="00267DC9"/>
    <w:rsid w:val="00271859"/>
    <w:rsid w:val="00276D44"/>
    <w:rsid w:val="0028313F"/>
    <w:rsid w:val="002844B3"/>
    <w:rsid w:val="00284B0B"/>
    <w:rsid w:val="002875CC"/>
    <w:rsid w:val="00293A0D"/>
    <w:rsid w:val="00295BE0"/>
    <w:rsid w:val="00296AD0"/>
    <w:rsid w:val="00297308"/>
    <w:rsid w:val="00297B98"/>
    <w:rsid w:val="002A26B7"/>
    <w:rsid w:val="002A3D30"/>
    <w:rsid w:val="002A5435"/>
    <w:rsid w:val="002C1055"/>
    <w:rsid w:val="002C14ED"/>
    <w:rsid w:val="002C1AD2"/>
    <w:rsid w:val="002C1E56"/>
    <w:rsid w:val="002C3375"/>
    <w:rsid w:val="002C45E1"/>
    <w:rsid w:val="002D045D"/>
    <w:rsid w:val="002D2780"/>
    <w:rsid w:val="002D27EE"/>
    <w:rsid w:val="002D3BA8"/>
    <w:rsid w:val="002E3F7B"/>
    <w:rsid w:val="002F2492"/>
    <w:rsid w:val="002F2F3A"/>
    <w:rsid w:val="002F4C2D"/>
    <w:rsid w:val="002F6385"/>
    <w:rsid w:val="00305EB7"/>
    <w:rsid w:val="0030699E"/>
    <w:rsid w:val="00311165"/>
    <w:rsid w:val="00313688"/>
    <w:rsid w:val="003275B3"/>
    <w:rsid w:val="00333273"/>
    <w:rsid w:val="0034147D"/>
    <w:rsid w:val="003425B2"/>
    <w:rsid w:val="00346A0B"/>
    <w:rsid w:val="003478C3"/>
    <w:rsid w:val="00355A1E"/>
    <w:rsid w:val="00355AAE"/>
    <w:rsid w:val="00355F7A"/>
    <w:rsid w:val="00361530"/>
    <w:rsid w:val="00366559"/>
    <w:rsid w:val="00366D08"/>
    <w:rsid w:val="00366E29"/>
    <w:rsid w:val="00367623"/>
    <w:rsid w:val="00370903"/>
    <w:rsid w:val="0037296D"/>
    <w:rsid w:val="003740B7"/>
    <w:rsid w:val="00377D75"/>
    <w:rsid w:val="003828BE"/>
    <w:rsid w:val="00383ED5"/>
    <w:rsid w:val="00384C3B"/>
    <w:rsid w:val="0038520C"/>
    <w:rsid w:val="00385DA1"/>
    <w:rsid w:val="003860B7"/>
    <w:rsid w:val="003A30F7"/>
    <w:rsid w:val="003A3BC9"/>
    <w:rsid w:val="003A4D99"/>
    <w:rsid w:val="003B036A"/>
    <w:rsid w:val="003B0C43"/>
    <w:rsid w:val="003C4A40"/>
    <w:rsid w:val="003C66DA"/>
    <w:rsid w:val="003C6734"/>
    <w:rsid w:val="003D3E32"/>
    <w:rsid w:val="003D6FE3"/>
    <w:rsid w:val="003E25B5"/>
    <w:rsid w:val="003E3156"/>
    <w:rsid w:val="003E60A6"/>
    <w:rsid w:val="003E69EB"/>
    <w:rsid w:val="003F08C8"/>
    <w:rsid w:val="003F4DA1"/>
    <w:rsid w:val="00401748"/>
    <w:rsid w:val="00401EFC"/>
    <w:rsid w:val="00402501"/>
    <w:rsid w:val="00403C51"/>
    <w:rsid w:val="00406F71"/>
    <w:rsid w:val="004070A4"/>
    <w:rsid w:val="0041050E"/>
    <w:rsid w:val="00410900"/>
    <w:rsid w:val="004135E5"/>
    <w:rsid w:val="0042452F"/>
    <w:rsid w:val="004321CC"/>
    <w:rsid w:val="00441EC7"/>
    <w:rsid w:val="00444615"/>
    <w:rsid w:val="00450A99"/>
    <w:rsid w:val="00450D8A"/>
    <w:rsid w:val="004512C6"/>
    <w:rsid w:val="00451EE9"/>
    <w:rsid w:val="00452D24"/>
    <w:rsid w:val="00455532"/>
    <w:rsid w:val="00460223"/>
    <w:rsid w:val="00462E9A"/>
    <w:rsid w:val="00463A5F"/>
    <w:rsid w:val="00466BBF"/>
    <w:rsid w:val="004721CC"/>
    <w:rsid w:val="00472E76"/>
    <w:rsid w:val="004750E8"/>
    <w:rsid w:val="00475266"/>
    <w:rsid w:val="00481F07"/>
    <w:rsid w:val="00485A12"/>
    <w:rsid w:val="00486954"/>
    <w:rsid w:val="0048710F"/>
    <w:rsid w:val="00490CA5"/>
    <w:rsid w:val="00494722"/>
    <w:rsid w:val="00497B17"/>
    <w:rsid w:val="004A341E"/>
    <w:rsid w:val="004A4E43"/>
    <w:rsid w:val="004A6081"/>
    <w:rsid w:val="004A7970"/>
    <w:rsid w:val="004B0C71"/>
    <w:rsid w:val="004B369D"/>
    <w:rsid w:val="004B4528"/>
    <w:rsid w:val="004B463B"/>
    <w:rsid w:val="004D0F5D"/>
    <w:rsid w:val="004D590A"/>
    <w:rsid w:val="004D5AB5"/>
    <w:rsid w:val="004D795A"/>
    <w:rsid w:val="004E2ED1"/>
    <w:rsid w:val="004E3759"/>
    <w:rsid w:val="004E7772"/>
    <w:rsid w:val="004F00E9"/>
    <w:rsid w:val="004F70E2"/>
    <w:rsid w:val="004F788E"/>
    <w:rsid w:val="0050030D"/>
    <w:rsid w:val="005014DF"/>
    <w:rsid w:val="005035E0"/>
    <w:rsid w:val="00506459"/>
    <w:rsid w:val="00507893"/>
    <w:rsid w:val="00507A62"/>
    <w:rsid w:val="00507BF1"/>
    <w:rsid w:val="0051355D"/>
    <w:rsid w:val="00517673"/>
    <w:rsid w:val="00521C57"/>
    <w:rsid w:val="00522B4F"/>
    <w:rsid w:val="0052621F"/>
    <w:rsid w:val="005316E7"/>
    <w:rsid w:val="00531C4F"/>
    <w:rsid w:val="005432E0"/>
    <w:rsid w:val="00543627"/>
    <w:rsid w:val="00545CBA"/>
    <w:rsid w:val="00551251"/>
    <w:rsid w:val="00555D59"/>
    <w:rsid w:val="00566A45"/>
    <w:rsid w:val="00576C30"/>
    <w:rsid w:val="00577A89"/>
    <w:rsid w:val="00577EF1"/>
    <w:rsid w:val="00581938"/>
    <w:rsid w:val="00584A41"/>
    <w:rsid w:val="00590C6B"/>
    <w:rsid w:val="005917C6"/>
    <w:rsid w:val="00591939"/>
    <w:rsid w:val="0059230F"/>
    <w:rsid w:val="00592EAC"/>
    <w:rsid w:val="005A734B"/>
    <w:rsid w:val="005A7A1F"/>
    <w:rsid w:val="005B13DD"/>
    <w:rsid w:val="005B3562"/>
    <w:rsid w:val="005B4D24"/>
    <w:rsid w:val="005B5212"/>
    <w:rsid w:val="005C3837"/>
    <w:rsid w:val="005C68EF"/>
    <w:rsid w:val="005D0A59"/>
    <w:rsid w:val="005D42F1"/>
    <w:rsid w:val="005D4728"/>
    <w:rsid w:val="005D7705"/>
    <w:rsid w:val="005E011F"/>
    <w:rsid w:val="005E6714"/>
    <w:rsid w:val="005F3EE3"/>
    <w:rsid w:val="005F55F0"/>
    <w:rsid w:val="00603F47"/>
    <w:rsid w:val="00604D64"/>
    <w:rsid w:val="00605257"/>
    <w:rsid w:val="00605284"/>
    <w:rsid w:val="00621626"/>
    <w:rsid w:val="00624541"/>
    <w:rsid w:val="00626F03"/>
    <w:rsid w:val="00630AC2"/>
    <w:rsid w:val="00630D02"/>
    <w:rsid w:val="0063106B"/>
    <w:rsid w:val="0065187A"/>
    <w:rsid w:val="00657F20"/>
    <w:rsid w:val="006618D2"/>
    <w:rsid w:val="00662613"/>
    <w:rsid w:val="00662E09"/>
    <w:rsid w:val="00670870"/>
    <w:rsid w:val="0067209E"/>
    <w:rsid w:val="00675356"/>
    <w:rsid w:val="00675522"/>
    <w:rsid w:val="0068103F"/>
    <w:rsid w:val="006818CD"/>
    <w:rsid w:val="00681A6A"/>
    <w:rsid w:val="00684406"/>
    <w:rsid w:val="00685774"/>
    <w:rsid w:val="00690A84"/>
    <w:rsid w:val="00691C02"/>
    <w:rsid w:val="00696E6C"/>
    <w:rsid w:val="006A02D6"/>
    <w:rsid w:val="006A34EF"/>
    <w:rsid w:val="006A4E85"/>
    <w:rsid w:val="006A6D64"/>
    <w:rsid w:val="006A6DC5"/>
    <w:rsid w:val="006B4068"/>
    <w:rsid w:val="006B55E9"/>
    <w:rsid w:val="006C2D06"/>
    <w:rsid w:val="006C3327"/>
    <w:rsid w:val="006C6D50"/>
    <w:rsid w:val="006C7725"/>
    <w:rsid w:val="006D600D"/>
    <w:rsid w:val="006E3974"/>
    <w:rsid w:val="006F2018"/>
    <w:rsid w:val="0070443C"/>
    <w:rsid w:val="00705F2F"/>
    <w:rsid w:val="0071001B"/>
    <w:rsid w:val="00710B11"/>
    <w:rsid w:val="00711355"/>
    <w:rsid w:val="00717C2B"/>
    <w:rsid w:val="00722954"/>
    <w:rsid w:val="00724DDB"/>
    <w:rsid w:val="00732240"/>
    <w:rsid w:val="00740C80"/>
    <w:rsid w:val="007412F5"/>
    <w:rsid w:val="00741618"/>
    <w:rsid w:val="007423CB"/>
    <w:rsid w:val="00742A14"/>
    <w:rsid w:val="00743F48"/>
    <w:rsid w:val="007451BF"/>
    <w:rsid w:val="00745390"/>
    <w:rsid w:val="00752789"/>
    <w:rsid w:val="00753528"/>
    <w:rsid w:val="0075650D"/>
    <w:rsid w:val="00756D38"/>
    <w:rsid w:val="00762FDD"/>
    <w:rsid w:val="00771A80"/>
    <w:rsid w:val="00776900"/>
    <w:rsid w:val="00780451"/>
    <w:rsid w:val="007831F4"/>
    <w:rsid w:val="00784B38"/>
    <w:rsid w:val="00786C30"/>
    <w:rsid w:val="00792AA1"/>
    <w:rsid w:val="00795FFB"/>
    <w:rsid w:val="00796306"/>
    <w:rsid w:val="00796D36"/>
    <w:rsid w:val="00796FA4"/>
    <w:rsid w:val="007A161D"/>
    <w:rsid w:val="007A6F10"/>
    <w:rsid w:val="007B0271"/>
    <w:rsid w:val="007B0E99"/>
    <w:rsid w:val="007B3FD1"/>
    <w:rsid w:val="007C1C30"/>
    <w:rsid w:val="007D2185"/>
    <w:rsid w:val="007E07EC"/>
    <w:rsid w:val="007E1F10"/>
    <w:rsid w:val="007E1FCD"/>
    <w:rsid w:val="007E2C3C"/>
    <w:rsid w:val="007E5917"/>
    <w:rsid w:val="007E6C48"/>
    <w:rsid w:val="007F76D9"/>
    <w:rsid w:val="007F7A7D"/>
    <w:rsid w:val="00803715"/>
    <w:rsid w:val="008051B8"/>
    <w:rsid w:val="00805579"/>
    <w:rsid w:val="00811F82"/>
    <w:rsid w:val="00813ADA"/>
    <w:rsid w:val="00813F60"/>
    <w:rsid w:val="00815A9D"/>
    <w:rsid w:val="00816CE6"/>
    <w:rsid w:val="00816FCF"/>
    <w:rsid w:val="00817BAD"/>
    <w:rsid w:val="00821F24"/>
    <w:rsid w:val="00822AF8"/>
    <w:rsid w:val="008245A3"/>
    <w:rsid w:val="00830E83"/>
    <w:rsid w:val="00837CF7"/>
    <w:rsid w:val="0084071F"/>
    <w:rsid w:val="0084187F"/>
    <w:rsid w:val="00861E1F"/>
    <w:rsid w:val="008631AB"/>
    <w:rsid w:val="0087379D"/>
    <w:rsid w:val="00874680"/>
    <w:rsid w:val="00874FD7"/>
    <w:rsid w:val="0087663A"/>
    <w:rsid w:val="00877AC6"/>
    <w:rsid w:val="00884B7E"/>
    <w:rsid w:val="00885F0D"/>
    <w:rsid w:val="008A0598"/>
    <w:rsid w:val="008A55E6"/>
    <w:rsid w:val="008B140A"/>
    <w:rsid w:val="008B15FD"/>
    <w:rsid w:val="008B2EC5"/>
    <w:rsid w:val="008B34B0"/>
    <w:rsid w:val="008B4614"/>
    <w:rsid w:val="008C4DCF"/>
    <w:rsid w:val="008C59B6"/>
    <w:rsid w:val="008D3B48"/>
    <w:rsid w:val="008E053A"/>
    <w:rsid w:val="008E2169"/>
    <w:rsid w:val="008E220D"/>
    <w:rsid w:val="008E3B26"/>
    <w:rsid w:val="008E62B1"/>
    <w:rsid w:val="008E7F98"/>
    <w:rsid w:val="008F0733"/>
    <w:rsid w:val="008F3DCB"/>
    <w:rsid w:val="008F54DF"/>
    <w:rsid w:val="008F6A79"/>
    <w:rsid w:val="009065AF"/>
    <w:rsid w:val="00906C0B"/>
    <w:rsid w:val="00913690"/>
    <w:rsid w:val="00915DD2"/>
    <w:rsid w:val="009238E4"/>
    <w:rsid w:val="009362FF"/>
    <w:rsid w:val="009423BB"/>
    <w:rsid w:val="00943DFA"/>
    <w:rsid w:val="00952136"/>
    <w:rsid w:val="00953CAA"/>
    <w:rsid w:val="00955CBE"/>
    <w:rsid w:val="0095779A"/>
    <w:rsid w:val="00961B8C"/>
    <w:rsid w:val="00961BE6"/>
    <w:rsid w:val="00964E1F"/>
    <w:rsid w:val="009734CF"/>
    <w:rsid w:val="009821CB"/>
    <w:rsid w:val="00986FB9"/>
    <w:rsid w:val="00987B13"/>
    <w:rsid w:val="00991909"/>
    <w:rsid w:val="009929B3"/>
    <w:rsid w:val="00994BFA"/>
    <w:rsid w:val="0099599D"/>
    <w:rsid w:val="009A024A"/>
    <w:rsid w:val="009A14A8"/>
    <w:rsid w:val="009A24E6"/>
    <w:rsid w:val="009B06E0"/>
    <w:rsid w:val="009B2C25"/>
    <w:rsid w:val="009B50BF"/>
    <w:rsid w:val="009B736B"/>
    <w:rsid w:val="009C11E4"/>
    <w:rsid w:val="009C3236"/>
    <w:rsid w:val="009C35B0"/>
    <w:rsid w:val="009C5E1A"/>
    <w:rsid w:val="009D541E"/>
    <w:rsid w:val="009D5424"/>
    <w:rsid w:val="009D61F9"/>
    <w:rsid w:val="009E1170"/>
    <w:rsid w:val="009E15F3"/>
    <w:rsid w:val="009E23B2"/>
    <w:rsid w:val="009E2FD9"/>
    <w:rsid w:val="009E7C1F"/>
    <w:rsid w:val="009F23AA"/>
    <w:rsid w:val="009F530A"/>
    <w:rsid w:val="00A000AE"/>
    <w:rsid w:val="00A033F2"/>
    <w:rsid w:val="00A2697A"/>
    <w:rsid w:val="00A3229C"/>
    <w:rsid w:val="00A3348A"/>
    <w:rsid w:val="00A37251"/>
    <w:rsid w:val="00A37681"/>
    <w:rsid w:val="00A379AC"/>
    <w:rsid w:val="00A408B9"/>
    <w:rsid w:val="00A42B0A"/>
    <w:rsid w:val="00A50AFA"/>
    <w:rsid w:val="00A5134A"/>
    <w:rsid w:val="00A51BC3"/>
    <w:rsid w:val="00A5431B"/>
    <w:rsid w:val="00A54463"/>
    <w:rsid w:val="00A61C60"/>
    <w:rsid w:val="00A632E7"/>
    <w:rsid w:val="00A66652"/>
    <w:rsid w:val="00A67F49"/>
    <w:rsid w:val="00A733FC"/>
    <w:rsid w:val="00A76EF0"/>
    <w:rsid w:val="00A81D78"/>
    <w:rsid w:val="00A90884"/>
    <w:rsid w:val="00A9146B"/>
    <w:rsid w:val="00A9352E"/>
    <w:rsid w:val="00AB252B"/>
    <w:rsid w:val="00AB741F"/>
    <w:rsid w:val="00AB7AC2"/>
    <w:rsid w:val="00AC5434"/>
    <w:rsid w:val="00AC596C"/>
    <w:rsid w:val="00AC6DB3"/>
    <w:rsid w:val="00AD0573"/>
    <w:rsid w:val="00AD0FA0"/>
    <w:rsid w:val="00AD1B8E"/>
    <w:rsid w:val="00AD2170"/>
    <w:rsid w:val="00AD22AD"/>
    <w:rsid w:val="00AD361C"/>
    <w:rsid w:val="00AD43EB"/>
    <w:rsid w:val="00AE401D"/>
    <w:rsid w:val="00AE5666"/>
    <w:rsid w:val="00AE5FEE"/>
    <w:rsid w:val="00AE694F"/>
    <w:rsid w:val="00AF0E07"/>
    <w:rsid w:val="00AF293B"/>
    <w:rsid w:val="00AF42AD"/>
    <w:rsid w:val="00AF73A5"/>
    <w:rsid w:val="00AF7F75"/>
    <w:rsid w:val="00B01927"/>
    <w:rsid w:val="00B063EB"/>
    <w:rsid w:val="00B06A19"/>
    <w:rsid w:val="00B07FCF"/>
    <w:rsid w:val="00B10FBA"/>
    <w:rsid w:val="00B12696"/>
    <w:rsid w:val="00B12D72"/>
    <w:rsid w:val="00B13219"/>
    <w:rsid w:val="00B16EBA"/>
    <w:rsid w:val="00B20305"/>
    <w:rsid w:val="00B20B74"/>
    <w:rsid w:val="00B20F30"/>
    <w:rsid w:val="00B21E3A"/>
    <w:rsid w:val="00B231EF"/>
    <w:rsid w:val="00B27664"/>
    <w:rsid w:val="00B303A3"/>
    <w:rsid w:val="00B312B9"/>
    <w:rsid w:val="00B34C46"/>
    <w:rsid w:val="00B376E4"/>
    <w:rsid w:val="00B37FBF"/>
    <w:rsid w:val="00B423F5"/>
    <w:rsid w:val="00B42ADC"/>
    <w:rsid w:val="00B431DE"/>
    <w:rsid w:val="00B45D05"/>
    <w:rsid w:val="00B45E5E"/>
    <w:rsid w:val="00B45F86"/>
    <w:rsid w:val="00B47009"/>
    <w:rsid w:val="00B50637"/>
    <w:rsid w:val="00B536AF"/>
    <w:rsid w:val="00B54513"/>
    <w:rsid w:val="00B6195D"/>
    <w:rsid w:val="00B6539F"/>
    <w:rsid w:val="00B67964"/>
    <w:rsid w:val="00B67E4E"/>
    <w:rsid w:val="00B701D5"/>
    <w:rsid w:val="00B70AE9"/>
    <w:rsid w:val="00B81380"/>
    <w:rsid w:val="00B83F74"/>
    <w:rsid w:val="00B847D0"/>
    <w:rsid w:val="00B950FD"/>
    <w:rsid w:val="00BA3D9F"/>
    <w:rsid w:val="00BA466D"/>
    <w:rsid w:val="00BA590B"/>
    <w:rsid w:val="00BA5EA1"/>
    <w:rsid w:val="00BA6660"/>
    <w:rsid w:val="00BA711E"/>
    <w:rsid w:val="00BB0633"/>
    <w:rsid w:val="00BB068A"/>
    <w:rsid w:val="00BB06A0"/>
    <w:rsid w:val="00BB29EB"/>
    <w:rsid w:val="00BB3049"/>
    <w:rsid w:val="00BB4446"/>
    <w:rsid w:val="00BB7F49"/>
    <w:rsid w:val="00BB7F87"/>
    <w:rsid w:val="00BC1DD9"/>
    <w:rsid w:val="00BC1F4D"/>
    <w:rsid w:val="00BC5803"/>
    <w:rsid w:val="00BC6663"/>
    <w:rsid w:val="00BC74E8"/>
    <w:rsid w:val="00BD1049"/>
    <w:rsid w:val="00BD264B"/>
    <w:rsid w:val="00BD50E2"/>
    <w:rsid w:val="00BD6692"/>
    <w:rsid w:val="00BD7EBA"/>
    <w:rsid w:val="00BE4BC6"/>
    <w:rsid w:val="00BE52C1"/>
    <w:rsid w:val="00BF0BA6"/>
    <w:rsid w:val="00BF10CA"/>
    <w:rsid w:val="00BF7349"/>
    <w:rsid w:val="00BF7CFE"/>
    <w:rsid w:val="00C014DD"/>
    <w:rsid w:val="00C0746B"/>
    <w:rsid w:val="00C13395"/>
    <w:rsid w:val="00C1450B"/>
    <w:rsid w:val="00C20A45"/>
    <w:rsid w:val="00C20A86"/>
    <w:rsid w:val="00C227A3"/>
    <w:rsid w:val="00C2554C"/>
    <w:rsid w:val="00C26BB5"/>
    <w:rsid w:val="00C31AA4"/>
    <w:rsid w:val="00C33571"/>
    <w:rsid w:val="00C34F48"/>
    <w:rsid w:val="00C35CA5"/>
    <w:rsid w:val="00C43DA1"/>
    <w:rsid w:val="00C505D2"/>
    <w:rsid w:val="00C52823"/>
    <w:rsid w:val="00C551F1"/>
    <w:rsid w:val="00C71721"/>
    <w:rsid w:val="00C73521"/>
    <w:rsid w:val="00C92AF5"/>
    <w:rsid w:val="00C97C29"/>
    <w:rsid w:val="00CA13E0"/>
    <w:rsid w:val="00CA3692"/>
    <w:rsid w:val="00CA5889"/>
    <w:rsid w:val="00CA694D"/>
    <w:rsid w:val="00CB3D7E"/>
    <w:rsid w:val="00CB3EEA"/>
    <w:rsid w:val="00CB4F90"/>
    <w:rsid w:val="00CB6DC6"/>
    <w:rsid w:val="00CB7275"/>
    <w:rsid w:val="00CC6083"/>
    <w:rsid w:val="00CC70D6"/>
    <w:rsid w:val="00CD64F7"/>
    <w:rsid w:val="00CE133E"/>
    <w:rsid w:val="00CE3035"/>
    <w:rsid w:val="00CF1751"/>
    <w:rsid w:val="00CF4A7E"/>
    <w:rsid w:val="00CF4FA6"/>
    <w:rsid w:val="00CF5E14"/>
    <w:rsid w:val="00CF6B99"/>
    <w:rsid w:val="00D00486"/>
    <w:rsid w:val="00D0322D"/>
    <w:rsid w:val="00D064A5"/>
    <w:rsid w:val="00D2019F"/>
    <w:rsid w:val="00D218F6"/>
    <w:rsid w:val="00D241D1"/>
    <w:rsid w:val="00D25FBC"/>
    <w:rsid w:val="00D30F54"/>
    <w:rsid w:val="00D37717"/>
    <w:rsid w:val="00D40738"/>
    <w:rsid w:val="00D40A87"/>
    <w:rsid w:val="00D521F0"/>
    <w:rsid w:val="00D524B7"/>
    <w:rsid w:val="00D551B2"/>
    <w:rsid w:val="00D57706"/>
    <w:rsid w:val="00D62182"/>
    <w:rsid w:val="00D62938"/>
    <w:rsid w:val="00D6314E"/>
    <w:rsid w:val="00D65668"/>
    <w:rsid w:val="00D716D4"/>
    <w:rsid w:val="00D72A2F"/>
    <w:rsid w:val="00D74528"/>
    <w:rsid w:val="00D80662"/>
    <w:rsid w:val="00D82741"/>
    <w:rsid w:val="00D82A96"/>
    <w:rsid w:val="00D87E1F"/>
    <w:rsid w:val="00D93D85"/>
    <w:rsid w:val="00D94375"/>
    <w:rsid w:val="00D9695F"/>
    <w:rsid w:val="00DA203B"/>
    <w:rsid w:val="00DA5BB6"/>
    <w:rsid w:val="00DA5F20"/>
    <w:rsid w:val="00DB0B67"/>
    <w:rsid w:val="00DB1201"/>
    <w:rsid w:val="00DB3ED4"/>
    <w:rsid w:val="00DB5D4C"/>
    <w:rsid w:val="00DC104D"/>
    <w:rsid w:val="00DC3360"/>
    <w:rsid w:val="00DC7C2A"/>
    <w:rsid w:val="00DC7CE7"/>
    <w:rsid w:val="00DD1346"/>
    <w:rsid w:val="00DD193B"/>
    <w:rsid w:val="00DD32CA"/>
    <w:rsid w:val="00DD3ECE"/>
    <w:rsid w:val="00DD4F4C"/>
    <w:rsid w:val="00DD59B7"/>
    <w:rsid w:val="00DD6862"/>
    <w:rsid w:val="00DD6AED"/>
    <w:rsid w:val="00DE0613"/>
    <w:rsid w:val="00DE13AD"/>
    <w:rsid w:val="00DE4140"/>
    <w:rsid w:val="00DE5BF2"/>
    <w:rsid w:val="00DE6617"/>
    <w:rsid w:val="00DE75FF"/>
    <w:rsid w:val="00DF34CE"/>
    <w:rsid w:val="00DF67A9"/>
    <w:rsid w:val="00DF7335"/>
    <w:rsid w:val="00E00768"/>
    <w:rsid w:val="00E06D27"/>
    <w:rsid w:val="00E111B2"/>
    <w:rsid w:val="00E1463B"/>
    <w:rsid w:val="00E1718E"/>
    <w:rsid w:val="00E17EDC"/>
    <w:rsid w:val="00E229A5"/>
    <w:rsid w:val="00E30D72"/>
    <w:rsid w:val="00E477CA"/>
    <w:rsid w:val="00E47935"/>
    <w:rsid w:val="00E502F6"/>
    <w:rsid w:val="00E54DD8"/>
    <w:rsid w:val="00E61C3E"/>
    <w:rsid w:val="00E62115"/>
    <w:rsid w:val="00E62562"/>
    <w:rsid w:val="00E703E4"/>
    <w:rsid w:val="00E76B24"/>
    <w:rsid w:val="00E81622"/>
    <w:rsid w:val="00E81718"/>
    <w:rsid w:val="00E8300D"/>
    <w:rsid w:val="00E87B1F"/>
    <w:rsid w:val="00E87C52"/>
    <w:rsid w:val="00E91AFB"/>
    <w:rsid w:val="00E91E5A"/>
    <w:rsid w:val="00E92185"/>
    <w:rsid w:val="00EA0685"/>
    <w:rsid w:val="00EA3324"/>
    <w:rsid w:val="00EA5BF8"/>
    <w:rsid w:val="00EB6649"/>
    <w:rsid w:val="00EC43AD"/>
    <w:rsid w:val="00EC49C7"/>
    <w:rsid w:val="00EC5BBB"/>
    <w:rsid w:val="00EC73DF"/>
    <w:rsid w:val="00EC74A6"/>
    <w:rsid w:val="00ED1E4C"/>
    <w:rsid w:val="00ED1F8D"/>
    <w:rsid w:val="00ED2618"/>
    <w:rsid w:val="00ED3980"/>
    <w:rsid w:val="00ED5BA2"/>
    <w:rsid w:val="00ED6A89"/>
    <w:rsid w:val="00ED71D9"/>
    <w:rsid w:val="00ED7432"/>
    <w:rsid w:val="00EE3A0F"/>
    <w:rsid w:val="00EE58D1"/>
    <w:rsid w:val="00EE7C53"/>
    <w:rsid w:val="00EF307E"/>
    <w:rsid w:val="00F021AD"/>
    <w:rsid w:val="00F033D8"/>
    <w:rsid w:val="00F04A8E"/>
    <w:rsid w:val="00F04C29"/>
    <w:rsid w:val="00F05255"/>
    <w:rsid w:val="00F10202"/>
    <w:rsid w:val="00F12B07"/>
    <w:rsid w:val="00F140DD"/>
    <w:rsid w:val="00F303A8"/>
    <w:rsid w:val="00F311F9"/>
    <w:rsid w:val="00F345F4"/>
    <w:rsid w:val="00F3579D"/>
    <w:rsid w:val="00F40EAA"/>
    <w:rsid w:val="00F431F8"/>
    <w:rsid w:val="00F45482"/>
    <w:rsid w:val="00F50046"/>
    <w:rsid w:val="00F614F7"/>
    <w:rsid w:val="00F62971"/>
    <w:rsid w:val="00F658B9"/>
    <w:rsid w:val="00F718F2"/>
    <w:rsid w:val="00F7217C"/>
    <w:rsid w:val="00F763ED"/>
    <w:rsid w:val="00F8144E"/>
    <w:rsid w:val="00F814BB"/>
    <w:rsid w:val="00F819E9"/>
    <w:rsid w:val="00F82207"/>
    <w:rsid w:val="00FA252A"/>
    <w:rsid w:val="00FA3102"/>
    <w:rsid w:val="00FA7851"/>
    <w:rsid w:val="00FB190D"/>
    <w:rsid w:val="00FB3829"/>
    <w:rsid w:val="00FD137F"/>
    <w:rsid w:val="00FD4ADF"/>
    <w:rsid w:val="00FD4CEC"/>
    <w:rsid w:val="00FD5D1B"/>
    <w:rsid w:val="00FD60FE"/>
    <w:rsid w:val="00FD626D"/>
    <w:rsid w:val="00FE5A73"/>
    <w:rsid w:val="00FE5DDF"/>
    <w:rsid w:val="00FF06E6"/>
    <w:rsid w:val="00FF1B66"/>
    <w:rsid w:val="00FF3062"/>
    <w:rsid w:val="00FF7044"/>
    <w:rsid w:val="00FF79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D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FE5DDF"/>
    <w:pPr>
      <w:keepNext/>
      <w:spacing w:before="60"/>
      <w:jc w:val="cente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FE5DDF"/>
    <w:rPr>
      <w:rFonts w:ascii="Times New Roman" w:eastAsia="Times New Roman" w:hAnsi="Times New Roman" w:cs="Times New Roman"/>
      <w:b/>
      <w:sz w:val="28"/>
      <w:szCs w:val="28"/>
    </w:rPr>
  </w:style>
  <w:style w:type="paragraph" w:styleId="Footer">
    <w:name w:val="footer"/>
    <w:basedOn w:val="Normal"/>
    <w:link w:val="FooterChar"/>
    <w:uiPriority w:val="99"/>
    <w:rsid w:val="00FE5DDF"/>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FE5DDF"/>
    <w:rPr>
      <w:rFonts w:ascii=".VnTime" w:eastAsia="Times New Roman" w:hAnsi=".VnTime" w:cs="Times New Roman"/>
      <w:sz w:val="28"/>
      <w:szCs w:val="28"/>
    </w:rPr>
  </w:style>
  <w:style w:type="paragraph" w:styleId="Header">
    <w:name w:val="header"/>
    <w:basedOn w:val="Normal"/>
    <w:link w:val="HeaderChar"/>
    <w:uiPriority w:val="99"/>
    <w:rsid w:val="00FE5DDF"/>
    <w:pPr>
      <w:tabs>
        <w:tab w:val="center" w:pos="4320"/>
        <w:tab w:val="right" w:pos="8640"/>
      </w:tabs>
    </w:pPr>
  </w:style>
  <w:style w:type="character" w:customStyle="1" w:styleId="HeaderChar">
    <w:name w:val="Header Char"/>
    <w:basedOn w:val="DefaultParagraphFont"/>
    <w:link w:val="Header"/>
    <w:uiPriority w:val="99"/>
    <w:rsid w:val="00FE5DDF"/>
    <w:rPr>
      <w:rFonts w:ascii="Times New Roman" w:eastAsia="Times New Roman" w:hAnsi="Times New Roman" w:cs="Times New Roman"/>
      <w:sz w:val="24"/>
      <w:szCs w:val="24"/>
    </w:rPr>
  </w:style>
  <w:style w:type="paragraph" w:styleId="ListParagraph">
    <w:name w:val="List Paragraph"/>
    <w:basedOn w:val="Normal"/>
    <w:uiPriority w:val="34"/>
    <w:qFormat/>
    <w:rsid w:val="00FE5DDF"/>
    <w:pPr>
      <w:ind w:left="720"/>
      <w:contextualSpacing/>
    </w:pPr>
  </w:style>
  <w:style w:type="paragraph" w:styleId="FootnoteText">
    <w:name w:val="footnote text"/>
    <w:basedOn w:val="Normal"/>
    <w:link w:val="FootnoteTextChar"/>
    <w:uiPriority w:val="99"/>
    <w:unhideWhenUsed/>
    <w:rsid w:val="00FE5DDF"/>
    <w:rPr>
      <w:rFonts w:eastAsiaTheme="minorHAnsi" w:cstheme="minorBidi"/>
      <w:sz w:val="20"/>
      <w:szCs w:val="20"/>
      <w:lang w:val="vi-VN"/>
    </w:rPr>
  </w:style>
  <w:style w:type="character" w:customStyle="1" w:styleId="FootnoteTextChar">
    <w:name w:val="Footnote Text Char"/>
    <w:basedOn w:val="DefaultParagraphFont"/>
    <w:link w:val="FootnoteText"/>
    <w:uiPriority w:val="99"/>
    <w:rsid w:val="00FE5DDF"/>
    <w:rPr>
      <w:rFonts w:ascii="Times New Roman" w:hAnsi="Times New Roman"/>
      <w:sz w:val="20"/>
      <w:szCs w:val="20"/>
      <w:lang w:val="vi-VN"/>
    </w:rPr>
  </w:style>
  <w:style w:type="character" w:styleId="FootnoteReference">
    <w:name w:val="footnote reference"/>
    <w:basedOn w:val="DefaultParagraphFont"/>
    <w:uiPriority w:val="99"/>
    <w:unhideWhenUsed/>
    <w:rsid w:val="00FE5DDF"/>
    <w:rPr>
      <w:vertAlign w:val="superscript"/>
    </w:rPr>
  </w:style>
  <w:style w:type="paragraph" w:customStyle="1" w:styleId="tit">
    <w:name w:val="tit"/>
    <w:basedOn w:val="Normal"/>
    <w:rsid w:val="00FE5DDF"/>
    <w:pPr>
      <w:widowControl w:val="0"/>
      <w:autoSpaceDE w:val="0"/>
      <w:autoSpaceDN w:val="0"/>
      <w:jc w:val="center"/>
    </w:pPr>
    <w:rPr>
      <w:rFonts w:ascii=".VnCentury SchoolbookH" w:hAnsi=".VnCentury SchoolbookH"/>
      <w:b/>
      <w:bCs/>
      <w:sz w:val="26"/>
      <w:szCs w:val="20"/>
    </w:rPr>
  </w:style>
  <w:style w:type="paragraph" w:styleId="BalloonText">
    <w:name w:val="Balloon Text"/>
    <w:basedOn w:val="Normal"/>
    <w:link w:val="BalloonTextChar"/>
    <w:uiPriority w:val="99"/>
    <w:semiHidden/>
    <w:unhideWhenUsed/>
    <w:rsid w:val="003E69EB"/>
    <w:rPr>
      <w:rFonts w:ascii="Tahoma" w:hAnsi="Tahoma" w:cs="Tahoma"/>
      <w:sz w:val="16"/>
      <w:szCs w:val="16"/>
    </w:rPr>
  </w:style>
  <w:style w:type="character" w:customStyle="1" w:styleId="BalloonTextChar">
    <w:name w:val="Balloon Text Char"/>
    <w:basedOn w:val="DefaultParagraphFont"/>
    <w:link w:val="BalloonText"/>
    <w:uiPriority w:val="99"/>
    <w:semiHidden/>
    <w:rsid w:val="003E69EB"/>
    <w:rPr>
      <w:rFonts w:ascii="Tahoma" w:eastAsia="Times New Roman" w:hAnsi="Tahoma" w:cs="Tahoma"/>
      <w:sz w:val="16"/>
      <w:szCs w:val="16"/>
    </w:rPr>
  </w:style>
  <w:style w:type="character" w:styleId="Hyperlink">
    <w:name w:val="Hyperlink"/>
    <w:basedOn w:val="DefaultParagraphFont"/>
    <w:uiPriority w:val="99"/>
    <w:semiHidden/>
    <w:unhideWhenUsed/>
    <w:rsid w:val="00D57706"/>
    <w:rPr>
      <w:color w:val="0000FF" w:themeColor="hyperlink"/>
      <w:u w:val="single"/>
    </w:rPr>
  </w:style>
  <w:style w:type="paragraph" w:styleId="NormalWeb">
    <w:name w:val="Normal (Web)"/>
    <w:basedOn w:val="Normal"/>
    <w:uiPriority w:val="99"/>
    <w:unhideWhenUsed/>
    <w:rsid w:val="00E1718E"/>
    <w:pPr>
      <w:spacing w:before="100" w:beforeAutospacing="1" w:after="100" w:afterAutospacing="1"/>
    </w:pPr>
  </w:style>
  <w:style w:type="paragraph" w:styleId="Revision">
    <w:name w:val="Revision"/>
    <w:hidden/>
    <w:uiPriority w:val="99"/>
    <w:semiHidden/>
    <w:rsid w:val="00D656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D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FE5DDF"/>
    <w:pPr>
      <w:keepNext/>
      <w:spacing w:before="60"/>
      <w:jc w:val="cente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FE5DDF"/>
    <w:rPr>
      <w:rFonts w:ascii="Times New Roman" w:eastAsia="Times New Roman" w:hAnsi="Times New Roman" w:cs="Times New Roman"/>
      <w:b/>
      <w:sz w:val="28"/>
      <w:szCs w:val="28"/>
    </w:rPr>
  </w:style>
  <w:style w:type="paragraph" w:styleId="Footer">
    <w:name w:val="footer"/>
    <w:basedOn w:val="Normal"/>
    <w:link w:val="FooterChar"/>
    <w:uiPriority w:val="99"/>
    <w:rsid w:val="00FE5DDF"/>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FE5DDF"/>
    <w:rPr>
      <w:rFonts w:ascii=".VnTime" w:eastAsia="Times New Roman" w:hAnsi=".VnTime" w:cs="Times New Roman"/>
      <w:sz w:val="28"/>
      <w:szCs w:val="28"/>
    </w:rPr>
  </w:style>
  <w:style w:type="paragraph" w:styleId="Header">
    <w:name w:val="header"/>
    <w:basedOn w:val="Normal"/>
    <w:link w:val="HeaderChar"/>
    <w:uiPriority w:val="99"/>
    <w:rsid w:val="00FE5DDF"/>
    <w:pPr>
      <w:tabs>
        <w:tab w:val="center" w:pos="4320"/>
        <w:tab w:val="right" w:pos="8640"/>
      </w:tabs>
    </w:pPr>
  </w:style>
  <w:style w:type="character" w:customStyle="1" w:styleId="HeaderChar">
    <w:name w:val="Header Char"/>
    <w:basedOn w:val="DefaultParagraphFont"/>
    <w:link w:val="Header"/>
    <w:uiPriority w:val="99"/>
    <w:rsid w:val="00FE5DDF"/>
    <w:rPr>
      <w:rFonts w:ascii="Times New Roman" w:eastAsia="Times New Roman" w:hAnsi="Times New Roman" w:cs="Times New Roman"/>
      <w:sz w:val="24"/>
      <w:szCs w:val="24"/>
    </w:rPr>
  </w:style>
  <w:style w:type="paragraph" w:styleId="ListParagraph">
    <w:name w:val="List Paragraph"/>
    <w:basedOn w:val="Normal"/>
    <w:uiPriority w:val="34"/>
    <w:qFormat/>
    <w:rsid w:val="00FE5DDF"/>
    <w:pPr>
      <w:ind w:left="720"/>
      <w:contextualSpacing/>
    </w:pPr>
  </w:style>
  <w:style w:type="paragraph" w:styleId="FootnoteText">
    <w:name w:val="footnote text"/>
    <w:basedOn w:val="Normal"/>
    <w:link w:val="FootnoteTextChar"/>
    <w:uiPriority w:val="99"/>
    <w:unhideWhenUsed/>
    <w:rsid w:val="00FE5DDF"/>
    <w:rPr>
      <w:rFonts w:eastAsiaTheme="minorHAnsi" w:cstheme="minorBidi"/>
      <w:sz w:val="20"/>
      <w:szCs w:val="20"/>
      <w:lang w:val="vi-VN"/>
    </w:rPr>
  </w:style>
  <w:style w:type="character" w:customStyle="1" w:styleId="FootnoteTextChar">
    <w:name w:val="Footnote Text Char"/>
    <w:basedOn w:val="DefaultParagraphFont"/>
    <w:link w:val="FootnoteText"/>
    <w:uiPriority w:val="99"/>
    <w:rsid w:val="00FE5DDF"/>
    <w:rPr>
      <w:rFonts w:ascii="Times New Roman" w:hAnsi="Times New Roman"/>
      <w:sz w:val="20"/>
      <w:szCs w:val="20"/>
      <w:lang w:val="vi-VN"/>
    </w:rPr>
  </w:style>
  <w:style w:type="character" w:styleId="FootnoteReference">
    <w:name w:val="footnote reference"/>
    <w:basedOn w:val="DefaultParagraphFont"/>
    <w:uiPriority w:val="99"/>
    <w:unhideWhenUsed/>
    <w:rsid w:val="00FE5DDF"/>
    <w:rPr>
      <w:vertAlign w:val="superscript"/>
    </w:rPr>
  </w:style>
  <w:style w:type="paragraph" w:customStyle="1" w:styleId="tit">
    <w:name w:val="tit"/>
    <w:basedOn w:val="Normal"/>
    <w:rsid w:val="00FE5DDF"/>
    <w:pPr>
      <w:widowControl w:val="0"/>
      <w:autoSpaceDE w:val="0"/>
      <w:autoSpaceDN w:val="0"/>
      <w:jc w:val="center"/>
    </w:pPr>
    <w:rPr>
      <w:rFonts w:ascii=".VnCentury SchoolbookH" w:hAnsi=".VnCentury SchoolbookH"/>
      <w:b/>
      <w:bCs/>
      <w:sz w:val="26"/>
      <w:szCs w:val="20"/>
    </w:rPr>
  </w:style>
  <w:style w:type="paragraph" w:styleId="BalloonText">
    <w:name w:val="Balloon Text"/>
    <w:basedOn w:val="Normal"/>
    <w:link w:val="BalloonTextChar"/>
    <w:uiPriority w:val="99"/>
    <w:semiHidden/>
    <w:unhideWhenUsed/>
    <w:rsid w:val="003E69EB"/>
    <w:rPr>
      <w:rFonts w:ascii="Tahoma" w:hAnsi="Tahoma" w:cs="Tahoma"/>
      <w:sz w:val="16"/>
      <w:szCs w:val="16"/>
    </w:rPr>
  </w:style>
  <w:style w:type="character" w:customStyle="1" w:styleId="BalloonTextChar">
    <w:name w:val="Balloon Text Char"/>
    <w:basedOn w:val="DefaultParagraphFont"/>
    <w:link w:val="BalloonText"/>
    <w:uiPriority w:val="99"/>
    <w:semiHidden/>
    <w:rsid w:val="003E69EB"/>
    <w:rPr>
      <w:rFonts w:ascii="Tahoma" w:eastAsia="Times New Roman" w:hAnsi="Tahoma" w:cs="Tahoma"/>
      <w:sz w:val="16"/>
      <w:szCs w:val="16"/>
    </w:rPr>
  </w:style>
  <w:style w:type="character" w:styleId="Hyperlink">
    <w:name w:val="Hyperlink"/>
    <w:basedOn w:val="DefaultParagraphFont"/>
    <w:uiPriority w:val="99"/>
    <w:semiHidden/>
    <w:unhideWhenUsed/>
    <w:rsid w:val="00D57706"/>
    <w:rPr>
      <w:color w:val="0000FF" w:themeColor="hyperlink"/>
      <w:u w:val="single"/>
    </w:rPr>
  </w:style>
  <w:style w:type="paragraph" w:styleId="NormalWeb">
    <w:name w:val="Normal (Web)"/>
    <w:basedOn w:val="Normal"/>
    <w:uiPriority w:val="99"/>
    <w:unhideWhenUsed/>
    <w:rsid w:val="00E1718E"/>
    <w:pPr>
      <w:spacing w:before="100" w:beforeAutospacing="1" w:after="100" w:afterAutospacing="1"/>
    </w:pPr>
  </w:style>
  <w:style w:type="paragraph" w:styleId="Revision">
    <w:name w:val="Revision"/>
    <w:hidden/>
    <w:uiPriority w:val="99"/>
    <w:semiHidden/>
    <w:rsid w:val="00D656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85">
      <w:bodyDiv w:val="1"/>
      <w:marLeft w:val="0"/>
      <w:marRight w:val="0"/>
      <w:marTop w:val="0"/>
      <w:marBottom w:val="0"/>
      <w:divBdr>
        <w:top w:val="none" w:sz="0" w:space="0" w:color="auto"/>
        <w:left w:val="none" w:sz="0" w:space="0" w:color="auto"/>
        <w:bottom w:val="none" w:sz="0" w:space="0" w:color="auto"/>
        <w:right w:val="none" w:sz="0" w:space="0" w:color="auto"/>
      </w:divBdr>
    </w:div>
    <w:div w:id="22873097">
      <w:bodyDiv w:val="1"/>
      <w:marLeft w:val="0"/>
      <w:marRight w:val="0"/>
      <w:marTop w:val="0"/>
      <w:marBottom w:val="0"/>
      <w:divBdr>
        <w:top w:val="none" w:sz="0" w:space="0" w:color="auto"/>
        <w:left w:val="none" w:sz="0" w:space="0" w:color="auto"/>
        <w:bottom w:val="none" w:sz="0" w:space="0" w:color="auto"/>
        <w:right w:val="none" w:sz="0" w:space="0" w:color="auto"/>
      </w:divBdr>
    </w:div>
    <w:div w:id="62720938">
      <w:bodyDiv w:val="1"/>
      <w:marLeft w:val="0"/>
      <w:marRight w:val="0"/>
      <w:marTop w:val="0"/>
      <w:marBottom w:val="0"/>
      <w:divBdr>
        <w:top w:val="none" w:sz="0" w:space="0" w:color="auto"/>
        <w:left w:val="none" w:sz="0" w:space="0" w:color="auto"/>
        <w:bottom w:val="none" w:sz="0" w:space="0" w:color="auto"/>
        <w:right w:val="none" w:sz="0" w:space="0" w:color="auto"/>
      </w:divBdr>
    </w:div>
    <w:div w:id="77139505">
      <w:bodyDiv w:val="1"/>
      <w:marLeft w:val="0"/>
      <w:marRight w:val="0"/>
      <w:marTop w:val="0"/>
      <w:marBottom w:val="0"/>
      <w:divBdr>
        <w:top w:val="none" w:sz="0" w:space="0" w:color="auto"/>
        <w:left w:val="none" w:sz="0" w:space="0" w:color="auto"/>
        <w:bottom w:val="none" w:sz="0" w:space="0" w:color="auto"/>
        <w:right w:val="none" w:sz="0" w:space="0" w:color="auto"/>
      </w:divBdr>
    </w:div>
    <w:div w:id="84767885">
      <w:bodyDiv w:val="1"/>
      <w:marLeft w:val="0"/>
      <w:marRight w:val="0"/>
      <w:marTop w:val="0"/>
      <w:marBottom w:val="0"/>
      <w:divBdr>
        <w:top w:val="none" w:sz="0" w:space="0" w:color="auto"/>
        <w:left w:val="none" w:sz="0" w:space="0" w:color="auto"/>
        <w:bottom w:val="none" w:sz="0" w:space="0" w:color="auto"/>
        <w:right w:val="none" w:sz="0" w:space="0" w:color="auto"/>
      </w:divBdr>
    </w:div>
    <w:div w:id="109589919">
      <w:bodyDiv w:val="1"/>
      <w:marLeft w:val="0"/>
      <w:marRight w:val="0"/>
      <w:marTop w:val="0"/>
      <w:marBottom w:val="0"/>
      <w:divBdr>
        <w:top w:val="none" w:sz="0" w:space="0" w:color="auto"/>
        <w:left w:val="none" w:sz="0" w:space="0" w:color="auto"/>
        <w:bottom w:val="none" w:sz="0" w:space="0" w:color="auto"/>
        <w:right w:val="none" w:sz="0" w:space="0" w:color="auto"/>
      </w:divBdr>
    </w:div>
    <w:div w:id="148057431">
      <w:bodyDiv w:val="1"/>
      <w:marLeft w:val="0"/>
      <w:marRight w:val="0"/>
      <w:marTop w:val="0"/>
      <w:marBottom w:val="0"/>
      <w:divBdr>
        <w:top w:val="none" w:sz="0" w:space="0" w:color="auto"/>
        <w:left w:val="none" w:sz="0" w:space="0" w:color="auto"/>
        <w:bottom w:val="none" w:sz="0" w:space="0" w:color="auto"/>
        <w:right w:val="none" w:sz="0" w:space="0" w:color="auto"/>
      </w:divBdr>
    </w:div>
    <w:div w:id="208420211">
      <w:bodyDiv w:val="1"/>
      <w:marLeft w:val="0"/>
      <w:marRight w:val="0"/>
      <w:marTop w:val="0"/>
      <w:marBottom w:val="0"/>
      <w:divBdr>
        <w:top w:val="none" w:sz="0" w:space="0" w:color="auto"/>
        <w:left w:val="none" w:sz="0" w:space="0" w:color="auto"/>
        <w:bottom w:val="none" w:sz="0" w:space="0" w:color="auto"/>
        <w:right w:val="none" w:sz="0" w:space="0" w:color="auto"/>
      </w:divBdr>
    </w:div>
    <w:div w:id="234046961">
      <w:bodyDiv w:val="1"/>
      <w:marLeft w:val="0"/>
      <w:marRight w:val="0"/>
      <w:marTop w:val="0"/>
      <w:marBottom w:val="0"/>
      <w:divBdr>
        <w:top w:val="none" w:sz="0" w:space="0" w:color="auto"/>
        <w:left w:val="none" w:sz="0" w:space="0" w:color="auto"/>
        <w:bottom w:val="none" w:sz="0" w:space="0" w:color="auto"/>
        <w:right w:val="none" w:sz="0" w:space="0" w:color="auto"/>
      </w:divBdr>
    </w:div>
    <w:div w:id="262764616">
      <w:bodyDiv w:val="1"/>
      <w:marLeft w:val="0"/>
      <w:marRight w:val="0"/>
      <w:marTop w:val="0"/>
      <w:marBottom w:val="0"/>
      <w:divBdr>
        <w:top w:val="none" w:sz="0" w:space="0" w:color="auto"/>
        <w:left w:val="none" w:sz="0" w:space="0" w:color="auto"/>
        <w:bottom w:val="none" w:sz="0" w:space="0" w:color="auto"/>
        <w:right w:val="none" w:sz="0" w:space="0" w:color="auto"/>
      </w:divBdr>
    </w:div>
    <w:div w:id="267660964">
      <w:bodyDiv w:val="1"/>
      <w:marLeft w:val="0"/>
      <w:marRight w:val="0"/>
      <w:marTop w:val="0"/>
      <w:marBottom w:val="0"/>
      <w:divBdr>
        <w:top w:val="none" w:sz="0" w:space="0" w:color="auto"/>
        <w:left w:val="none" w:sz="0" w:space="0" w:color="auto"/>
        <w:bottom w:val="none" w:sz="0" w:space="0" w:color="auto"/>
        <w:right w:val="none" w:sz="0" w:space="0" w:color="auto"/>
      </w:divBdr>
    </w:div>
    <w:div w:id="309479887">
      <w:bodyDiv w:val="1"/>
      <w:marLeft w:val="0"/>
      <w:marRight w:val="0"/>
      <w:marTop w:val="0"/>
      <w:marBottom w:val="0"/>
      <w:divBdr>
        <w:top w:val="none" w:sz="0" w:space="0" w:color="auto"/>
        <w:left w:val="none" w:sz="0" w:space="0" w:color="auto"/>
        <w:bottom w:val="none" w:sz="0" w:space="0" w:color="auto"/>
        <w:right w:val="none" w:sz="0" w:space="0" w:color="auto"/>
      </w:divBdr>
    </w:div>
    <w:div w:id="471674915">
      <w:bodyDiv w:val="1"/>
      <w:marLeft w:val="0"/>
      <w:marRight w:val="0"/>
      <w:marTop w:val="0"/>
      <w:marBottom w:val="0"/>
      <w:divBdr>
        <w:top w:val="none" w:sz="0" w:space="0" w:color="auto"/>
        <w:left w:val="none" w:sz="0" w:space="0" w:color="auto"/>
        <w:bottom w:val="none" w:sz="0" w:space="0" w:color="auto"/>
        <w:right w:val="none" w:sz="0" w:space="0" w:color="auto"/>
      </w:divBdr>
    </w:div>
    <w:div w:id="491070847">
      <w:bodyDiv w:val="1"/>
      <w:marLeft w:val="0"/>
      <w:marRight w:val="0"/>
      <w:marTop w:val="0"/>
      <w:marBottom w:val="0"/>
      <w:divBdr>
        <w:top w:val="none" w:sz="0" w:space="0" w:color="auto"/>
        <w:left w:val="none" w:sz="0" w:space="0" w:color="auto"/>
        <w:bottom w:val="none" w:sz="0" w:space="0" w:color="auto"/>
        <w:right w:val="none" w:sz="0" w:space="0" w:color="auto"/>
      </w:divBdr>
    </w:div>
    <w:div w:id="570426193">
      <w:bodyDiv w:val="1"/>
      <w:marLeft w:val="0"/>
      <w:marRight w:val="0"/>
      <w:marTop w:val="0"/>
      <w:marBottom w:val="0"/>
      <w:divBdr>
        <w:top w:val="none" w:sz="0" w:space="0" w:color="auto"/>
        <w:left w:val="none" w:sz="0" w:space="0" w:color="auto"/>
        <w:bottom w:val="none" w:sz="0" w:space="0" w:color="auto"/>
        <w:right w:val="none" w:sz="0" w:space="0" w:color="auto"/>
      </w:divBdr>
    </w:div>
    <w:div w:id="614366359">
      <w:bodyDiv w:val="1"/>
      <w:marLeft w:val="0"/>
      <w:marRight w:val="0"/>
      <w:marTop w:val="0"/>
      <w:marBottom w:val="0"/>
      <w:divBdr>
        <w:top w:val="none" w:sz="0" w:space="0" w:color="auto"/>
        <w:left w:val="none" w:sz="0" w:space="0" w:color="auto"/>
        <w:bottom w:val="none" w:sz="0" w:space="0" w:color="auto"/>
        <w:right w:val="none" w:sz="0" w:space="0" w:color="auto"/>
      </w:divBdr>
    </w:div>
    <w:div w:id="635381551">
      <w:bodyDiv w:val="1"/>
      <w:marLeft w:val="0"/>
      <w:marRight w:val="0"/>
      <w:marTop w:val="0"/>
      <w:marBottom w:val="0"/>
      <w:divBdr>
        <w:top w:val="none" w:sz="0" w:space="0" w:color="auto"/>
        <w:left w:val="none" w:sz="0" w:space="0" w:color="auto"/>
        <w:bottom w:val="none" w:sz="0" w:space="0" w:color="auto"/>
        <w:right w:val="none" w:sz="0" w:space="0" w:color="auto"/>
      </w:divBdr>
    </w:div>
    <w:div w:id="688023546">
      <w:bodyDiv w:val="1"/>
      <w:marLeft w:val="0"/>
      <w:marRight w:val="0"/>
      <w:marTop w:val="0"/>
      <w:marBottom w:val="0"/>
      <w:divBdr>
        <w:top w:val="none" w:sz="0" w:space="0" w:color="auto"/>
        <w:left w:val="none" w:sz="0" w:space="0" w:color="auto"/>
        <w:bottom w:val="none" w:sz="0" w:space="0" w:color="auto"/>
        <w:right w:val="none" w:sz="0" w:space="0" w:color="auto"/>
      </w:divBdr>
    </w:div>
    <w:div w:id="778911510">
      <w:bodyDiv w:val="1"/>
      <w:marLeft w:val="0"/>
      <w:marRight w:val="0"/>
      <w:marTop w:val="0"/>
      <w:marBottom w:val="0"/>
      <w:divBdr>
        <w:top w:val="none" w:sz="0" w:space="0" w:color="auto"/>
        <w:left w:val="none" w:sz="0" w:space="0" w:color="auto"/>
        <w:bottom w:val="none" w:sz="0" w:space="0" w:color="auto"/>
        <w:right w:val="none" w:sz="0" w:space="0" w:color="auto"/>
      </w:divBdr>
    </w:div>
    <w:div w:id="788550227">
      <w:bodyDiv w:val="1"/>
      <w:marLeft w:val="0"/>
      <w:marRight w:val="0"/>
      <w:marTop w:val="0"/>
      <w:marBottom w:val="0"/>
      <w:divBdr>
        <w:top w:val="none" w:sz="0" w:space="0" w:color="auto"/>
        <w:left w:val="none" w:sz="0" w:space="0" w:color="auto"/>
        <w:bottom w:val="none" w:sz="0" w:space="0" w:color="auto"/>
        <w:right w:val="none" w:sz="0" w:space="0" w:color="auto"/>
      </w:divBdr>
    </w:div>
    <w:div w:id="828864112">
      <w:bodyDiv w:val="1"/>
      <w:marLeft w:val="0"/>
      <w:marRight w:val="0"/>
      <w:marTop w:val="0"/>
      <w:marBottom w:val="0"/>
      <w:divBdr>
        <w:top w:val="none" w:sz="0" w:space="0" w:color="auto"/>
        <w:left w:val="none" w:sz="0" w:space="0" w:color="auto"/>
        <w:bottom w:val="none" w:sz="0" w:space="0" w:color="auto"/>
        <w:right w:val="none" w:sz="0" w:space="0" w:color="auto"/>
      </w:divBdr>
    </w:div>
    <w:div w:id="926305950">
      <w:bodyDiv w:val="1"/>
      <w:marLeft w:val="0"/>
      <w:marRight w:val="0"/>
      <w:marTop w:val="0"/>
      <w:marBottom w:val="0"/>
      <w:divBdr>
        <w:top w:val="none" w:sz="0" w:space="0" w:color="auto"/>
        <w:left w:val="none" w:sz="0" w:space="0" w:color="auto"/>
        <w:bottom w:val="none" w:sz="0" w:space="0" w:color="auto"/>
        <w:right w:val="none" w:sz="0" w:space="0" w:color="auto"/>
      </w:divBdr>
    </w:div>
    <w:div w:id="942687219">
      <w:bodyDiv w:val="1"/>
      <w:marLeft w:val="0"/>
      <w:marRight w:val="0"/>
      <w:marTop w:val="0"/>
      <w:marBottom w:val="0"/>
      <w:divBdr>
        <w:top w:val="none" w:sz="0" w:space="0" w:color="auto"/>
        <w:left w:val="none" w:sz="0" w:space="0" w:color="auto"/>
        <w:bottom w:val="none" w:sz="0" w:space="0" w:color="auto"/>
        <w:right w:val="none" w:sz="0" w:space="0" w:color="auto"/>
      </w:divBdr>
    </w:div>
    <w:div w:id="956790495">
      <w:bodyDiv w:val="1"/>
      <w:marLeft w:val="0"/>
      <w:marRight w:val="0"/>
      <w:marTop w:val="0"/>
      <w:marBottom w:val="0"/>
      <w:divBdr>
        <w:top w:val="none" w:sz="0" w:space="0" w:color="auto"/>
        <w:left w:val="none" w:sz="0" w:space="0" w:color="auto"/>
        <w:bottom w:val="none" w:sz="0" w:space="0" w:color="auto"/>
        <w:right w:val="none" w:sz="0" w:space="0" w:color="auto"/>
      </w:divBdr>
    </w:div>
    <w:div w:id="967592317">
      <w:bodyDiv w:val="1"/>
      <w:marLeft w:val="0"/>
      <w:marRight w:val="0"/>
      <w:marTop w:val="0"/>
      <w:marBottom w:val="0"/>
      <w:divBdr>
        <w:top w:val="none" w:sz="0" w:space="0" w:color="auto"/>
        <w:left w:val="none" w:sz="0" w:space="0" w:color="auto"/>
        <w:bottom w:val="none" w:sz="0" w:space="0" w:color="auto"/>
        <w:right w:val="none" w:sz="0" w:space="0" w:color="auto"/>
      </w:divBdr>
    </w:div>
    <w:div w:id="1094519064">
      <w:bodyDiv w:val="1"/>
      <w:marLeft w:val="0"/>
      <w:marRight w:val="0"/>
      <w:marTop w:val="0"/>
      <w:marBottom w:val="0"/>
      <w:divBdr>
        <w:top w:val="none" w:sz="0" w:space="0" w:color="auto"/>
        <w:left w:val="none" w:sz="0" w:space="0" w:color="auto"/>
        <w:bottom w:val="none" w:sz="0" w:space="0" w:color="auto"/>
        <w:right w:val="none" w:sz="0" w:space="0" w:color="auto"/>
      </w:divBdr>
    </w:div>
    <w:div w:id="1108500904">
      <w:bodyDiv w:val="1"/>
      <w:marLeft w:val="0"/>
      <w:marRight w:val="0"/>
      <w:marTop w:val="0"/>
      <w:marBottom w:val="0"/>
      <w:divBdr>
        <w:top w:val="none" w:sz="0" w:space="0" w:color="auto"/>
        <w:left w:val="none" w:sz="0" w:space="0" w:color="auto"/>
        <w:bottom w:val="none" w:sz="0" w:space="0" w:color="auto"/>
        <w:right w:val="none" w:sz="0" w:space="0" w:color="auto"/>
      </w:divBdr>
    </w:div>
    <w:div w:id="1114594771">
      <w:bodyDiv w:val="1"/>
      <w:marLeft w:val="0"/>
      <w:marRight w:val="0"/>
      <w:marTop w:val="0"/>
      <w:marBottom w:val="0"/>
      <w:divBdr>
        <w:top w:val="none" w:sz="0" w:space="0" w:color="auto"/>
        <w:left w:val="none" w:sz="0" w:space="0" w:color="auto"/>
        <w:bottom w:val="none" w:sz="0" w:space="0" w:color="auto"/>
        <w:right w:val="none" w:sz="0" w:space="0" w:color="auto"/>
      </w:divBdr>
    </w:div>
    <w:div w:id="1201632219">
      <w:bodyDiv w:val="1"/>
      <w:marLeft w:val="0"/>
      <w:marRight w:val="0"/>
      <w:marTop w:val="0"/>
      <w:marBottom w:val="0"/>
      <w:divBdr>
        <w:top w:val="none" w:sz="0" w:space="0" w:color="auto"/>
        <w:left w:val="none" w:sz="0" w:space="0" w:color="auto"/>
        <w:bottom w:val="none" w:sz="0" w:space="0" w:color="auto"/>
        <w:right w:val="none" w:sz="0" w:space="0" w:color="auto"/>
      </w:divBdr>
    </w:div>
    <w:div w:id="1301184454">
      <w:bodyDiv w:val="1"/>
      <w:marLeft w:val="0"/>
      <w:marRight w:val="0"/>
      <w:marTop w:val="0"/>
      <w:marBottom w:val="0"/>
      <w:divBdr>
        <w:top w:val="none" w:sz="0" w:space="0" w:color="auto"/>
        <w:left w:val="none" w:sz="0" w:space="0" w:color="auto"/>
        <w:bottom w:val="none" w:sz="0" w:space="0" w:color="auto"/>
        <w:right w:val="none" w:sz="0" w:space="0" w:color="auto"/>
      </w:divBdr>
    </w:div>
    <w:div w:id="1310211071">
      <w:bodyDiv w:val="1"/>
      <w:marLeft w:val="0"/>
      <w:marRight w:val="0"/>
      <w:marTop w:val="0"/>
      <w:marBottom w:val="0"/>
      <w:divBdr>
        <w:top w:val="none" w:sz="0" w:space="0" w:color="auto"/>
        <w:left w:val="none" w:sz="0" w:space="0" w:color="auto"/>
        <w:bottom w:val="none" w:sz="0" w:space="0" w:color="auto"/>
        <w:right w:val="none" w:sz="0" w:space="0" w:color="auto"/>
      </w:divBdr>
    </w:div>
    <w:div w:id="1378896574">
      <w:bodyDiv w:val="1"/>
      <w:marLeft w:val="0"/>
      <w:marRight w:val="0"/>
      <w:marTop w:val="0"/>
      <w:marBottom w:val="0"/>
      <w:divBdr>
        <w:top w:val="none" w:sz="0" w:space="0" w:color="auto"/>
        <w:left w:val="none" w:sz="0" w:space="0" w:color="auto"/>
        <w:bottom w:val="none" w:sz="0" w:space="0" w:color="auto"/>
        <w:right w:val="none" w:sz="0" w:space="0" w:color="auto"/>
      </w:divBdr>
    </w:div>
    <w:div w:id="1412507097">
      <w:bodyDiv w:val="1"/>
      <w:marLeft w:val="0"/>
      <w:marRight w:val="0"/>
      <w:marTop w:val="0"/>
      <w:marBottom w:val="0"/>
      <w:divBdr>
        <w:top w:val="none" w:sz="0" w:space="0" w:color="auto"/>
        <w:left w:val="none" w:sz="0" w:space="0" w:color="auto"/>
        <w:bottom w:val="none" w:sz="0" w:space="0" w:color="auto"/>
        <w:right w:val="none" w:sz="0" w:space="0" w:color="auto"/>
      </w:divBdr>
    </w:div>
    <w:div w:id="1465738053">
      <w:bodyDiv w:val="1"/>
      <w:marLeft w:val="0"/>
      <w:marRight w:val="0"/>
      <w:marTop w:val="0"/>
      <w:marBottom w:val="0"/>
      <w:divBdr>
        <w:top w:val="none" w:sz="0" w:space="0" w:color="auto"/>
        <w:left w:val="none" w:sz="0" w:space="0" w:color="auto"/>
        <w:bottom w:val="none" w:sz="0" w:space="0" w:color="auto"/>
        <w:right w:val="none" w:sz="0" w:space="0" w:color="auto"/>
      </w:divBdr>
    </w:div>
    <w:div w:id="1475105823">
      <w:bodyDiv w:val="1"/>
      <w:marLeft w:val="0"/>
      <w:marRight w:val="0"/>
      <w:marTop w:val="0"/>
      <w:marBottom w:val="0"/>
      <w:divBdr>
        <w:top w:val="none" w:sz="0" w:space="0" w:color="auto"/>
        <w:left w:val="none" w:sz="0" w:space="0" w:color="auto"/>
        <w:bottom w:val="none" w:sz="0" w:space="0" w:color="auto"/>
        <w:right w:val="none" w:sz="0" w:space="0" w:color="auto"/>
      </w:divBdr>
    </w:div>
    <w:div w:id="1487673738">
      <w:bodyDiv w:val="1"/>
      <w:marLeft w:val="0"/>
      <w:marRight w:val="0"/>
      <w:marTop w:val="0"/>
      <w:marBottom w:val="0"/>
      <w:divBdr>
        <w:top w:val="none" w:sz="0" w:space="0" w:color="auto"/>
        <w:left w:val="none" w:sz="0" w:space="0" w:color="auto"/>
        <w:bottom w:val="none" w:sz="0" w:space="0" w:color="auto"/>
        <w:right w:val="none" w:sz="0" w:space="0" w:color="auto"/>
      </w:divBdr>
    </w:div>
    <w:div w:id="1724403452">
      <w:bodyDiv w:val="1"/>
      <w:marLeft w:val="0"/>
      <w:marRight w:val="0"/>
      <w:marTop w:val="0"/>
      <w:marBottom w:val="0"/>
      <w:divBdr>
        <w:top w:val="none" w:sz="0" w:space="0" w:color="auto"/>
        <w:left w:val="none" w:sz="0" w:space="0" w:color="auto"/>
        <w:bottom w:val="none" w:sz="0" w:space="0" w:color="auto"/>
        <w:right w:val="none" w:sz="0" w:space="0" w:color="auto"/>
      </w:divBdr>
    </w:div>
    <w:div w:id="1755054428">
      <w:bodyDiv w:val="1"/>
      <w:marLeft w:val="0"/>
      <w:marRight w:val="0"/>
      <w:marTop w:val="0"/>
      <w:marBottom w:val="0"/>
      <w:divBdr>
        <w:top w:val="none" w:sz="0" w:space="0" w:color="auto"/>
        <w:left w:val="none" w:sz="0" w:space="0" w:color="auto"/>
        <w:bottom w:val="none" w:sz="0" w:space="0" w:color="auto"/>
        <w:right w:val="none" w:sz="0" w:space="0" w:color="auto"/>
      </w:divBdr>
    </w:div>
    <w:div w:id="1792746526">
      <w:bodyDiv w:val="1"/>
      <w:marLeft w:val="0"/>
      <w:marRight w:val="0"/>
      <w:marTop w:val="0"/>
      <w:marBottom w:val="0"/>
      <w:divBdr>
        <w:top w:val="none" w:sz="0" w:space="0" w:color="auto"/>
        <w:left w:val="none" w:sz="0" w:space="0" w:color="auto"/>
        <w:bottom w:val="none" w:sz="0" w:space="0" w:color="auto"/>
        <w:right w:val="none" w:sz="0" w:space="0" w:color="auto"/>
      </w:divBdr>
    </w:div>
    <w:div w:id="1866363477">
      <w:bodyDiv w:val="1"/>
      <w:marLeft w:val="0"/>
      <w:marRight w:val="0"/>
      <w:marTop w:val="0"/>
      <w:marBottom w:val="0"/>
      <w:divBdr>
        <w:top w:val="none" w:sz="0" w:space="0" w:color="auto"/>
        <w:left w:val="none" w:sz="0" w:space="0" w:color="auto"/>
        <w:bottom w:val="none" w:sz="0" w:space="0" w:color="auto"/>
        <w:right w:val="none" w:sz="0" w:space="0" w:color="auto"/>
      </w:divBdr>
    </w:div>
    <w:div w:id="1941599449">
      <w:bodyDiv w:val="1"/>
      <w:marLeft w:val="0"/>
      <w:marRight w:val="0"/>
      <w:marTop w:val="0"/>
      <w:marBottom w:val="0"/>
      <w:divBdr>
        <w:top w:val="none" w:sz="0" w:space="0" w:color="auto"/>
        <w:left w:val="none" w:sz="0" w:space="0" w:color="auto"/>
        <w:bottom w:val="none" w:sz="0" w:space="0" w:color="auto"/>
        <w:right w:val="none" w:sz="0" w:space="0" w:color="auto"/>
      </w:divBdr>
    </w:div>
    <w:div w:id="1996297859">
      <w:bodyDiv w:val="1"/>
      <w:marLeft w:val="0"/>
      <w:marRight w:val="0"/>
      <w:marTop w:val="0"/>
      <w:marBottom w:val="0"/>
      <w:divBdr>
        <w:top w:val="none" w:sz="0" w:space="0" w:color="auto"/>
        <w:left w:val="none" w:sz="0" w:space="0" w:color="auto"/>
        <w:bottom w:val="none" w:sz="0" w:space="0" w:color="auto"/>
        <w:right w:val="none" w:sz="0" w:space="0" w:color="auto"/>
      </w:divBdr>
    </w:div>
    <w:div w:id="1997949254">
      <w:bodyDiv w:val="1"/>
      <w:marLeft w:val="0"/>
      <w:marRight w:val="0"/>
      <w:marTop w:val="0"/>
      <w:marBottom w:val="0"/>
      <w:divBdr>
        <w:top w:val="none" w:sz="0" w:space="0" w:color="auto"/>
        <w:left w:val="none" w:sz="0" w:space="0" w:color="auto"/>
        <w:bottom w:val="none" w:sz="0" w:space="0" w:color="auto"/>
        <w:right w:val="none" w:sz="0" w:space="0" w:color="auto"/>
      </w:divBdr>
    </w:div>
    <w:div w:id="2057268852">
      <w:bodyDiv w:val="1"/>
      <w:marLeft w:val="0"/>
      <w:marRight w:val="0"/>
      <w:marTop w:val="0"/>
      <w:marBottom w:val="0"/>
      <w:divBdr>
        <w:top w:val="none" w:sz="0" w:space="0" w:color="auto"/>
        <w:left w:val="none" w:sz="0" w:space="0" w:color="auto"/>
        <w:bottom w:val="none" w:sz="0" w:space="0" w:color="auto"/>
        <w:right w:val="none" w:sz="0" w:space="0" w:color="auto"/>
      </w:divBdr>
    </w:div>
    <w:div w:id="2100830571">
      <w:bodyDiv w:val="1"/>
      <w:marLeft w:val="0"/>
      <w:marRight w:val="0"/>
      <w:marTop w:val="0"/>
      <w:marBottom w:val="0"/>
      <w:divBdr>
        <w:top w:val="none" w:sz="0" w:space="0" w:color="auto"/>
        <w:left w:val="none" w:sz="0" w:space="0" w:color="auto"/>
        <w:bottom w:val="none" w:sz="0" w:space="0" w:color="auto"/>
        <w:right w:val="none" w:sz="0" w:space="0" w:color="auto"/>
      </w:divBdr>
    </w:div>
    <w:div w:id="2106488935">
      <w:bodyDiv w:val="1"/>
      <w:marLeft w:val="0"/>
      <w:marRight w:val="0"/>
      <w:marTop w:val="0"/>
      <w:marBottom w:val="0"/>
      <w:divBdr>
        <w:top w:val="none" w:sz="0" w:space="0" w:color="auto"/>
        <w:left w:val="none" w:sz="0" w:space="0" w:color="auto"/>
        <w:bottom w:val="none" w:sz="0" w:space="0" w:color="auto"/>
        <w:right w:val="none" w:sz="0" w:space="0" w:color="auto"/>
      </w:divBdr>
    </w:div>
    <w:div w:id="2145152699">
      <w:bodyDiv w:val="1"/>
      <w:marLeft w:val="0"/>
      <w:marRight w:val="0"/>
      <w:marTop w:val="0"/>
      <w:marBottom w:val="0"/>
      <w:divBdr>
        <w:top w:val="none" w:sz="0" w:space="0" w:color="auto"/>
        <w:left w:val="none" w:sz="0" w:space="0" w:color="auto"/>
        <w:bottom w:val="none" w:sz="0" w:space="0" w:color="auto"/>
        <w:right w:val="none" w:sz="0" w:space="0" w:color="auto"/>
      </w:divBdr>
    </w:div>
    <w:div w:id="21467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so-1908-QD-TLD-Quy-dinh-quan-ly-tai-chinh-tai-san-cong-doan-thu-phan-phoi-nguon-thu-2016-336820.aspx?anchor=dieu_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DDCA-9B11-4118-82D7-4EAA64D4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Phòng Nghiệp vụ 2 - Thanh tra tỉnh</vt:lpstr>
    </vt:vector>
  </TitlesOfParts>
  <Company>Microsoft</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2 - Thanh tra tỉnh</dc:title>
  <dc:creator>ADMIN</dc:creator>
  <cp:lastModifiedBy>Vanxuan</cp:lastModifiedBy>
  <cp:revision>2</cp:revision>
  <cp:lastPrinted>2020-09-28T02:05:00Z</cp:lastPrinted>
  <dcterms:created xsi:type="dcterms:W3CDTF">2021-09-30T00:08:00Z</dcterms:created>
  <dcterms:modified xsi:type="dcterms:W3CDTF">2021-09-30T00:08:00Z</dcterms:modified>
</cp:coreProperties>
</file>