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000" w:firstRow="0" w:lastRow="0" w:firstColumn="0" w:lastColumn="0" w:noHBand="0" w:noVBand="0"/>
      </w:tblPr>
      <w:tblGrid>
        <w:gridCol w:w="3119"/>
        <w:gridCol w:w="6237"/>
      </w:tblGrid>
      <w:tr w:rsidR="00FE5DDF" w:rsidRPr="00F27D78" w:rsidTr="00B847D0">
        <w:trPr>
          <w:trHeight w:val="1008"/>
        </w:trPr>
        <w:tc>
          <w:tcPr>
            <w:tcW w:w="3119" w:type="dxa"/>
          </w:tcPr>
          <w:p w:rsidR="00FE5DDF" w:rsidRPr="00F27D78" w:rsidRDefault="00FE5DDF" w:rsidP="00B847D0">
            <w:pPr>
              <w:pStyle w:val="Footer"/>
              <w:tabs>
                <w:tab w:val="left" w:pos="720"/>
              </w:tabs>
              <w:jc w:val="center"/>
              <w:rPr>
                <w:rFonts w:ascii="Times New Roman" w:hAnsi="Times New Roman"/>
                <w:sz w:val="24"/>
                <w:szCs w:val="24"/>
              </w:rPr>
            </w:pPr>
            <w:r w:rsidRPr="00F27D78">
              <w:rPr>
                <w:rFonts w:ascii="Times New Roman" w:hAnsi="Times New Roman"/>
                <w:sz w:val="24"/>
                <w:szCs w:val="24"/>
              </w:rPr>
              <w:t>UBND TỈNH HÀ TĨNH</w:t>
            </w:r>
          </w:p>
          <w:p w:rsidR="00FE5DDF" w:rsidRPr="00F27D78" w:rsidRDefault="00FE5DDF" w:rsidP="00B847D0">
            <w:pPr>
              <w:pStyle w:val="Footer"/>
              <w:tabs>
                <w:tab w:val="left" w:pos="720"/>
              </w:tabs>
              <w:jc w:val="center"/>
              <w:rPr>
                <w:rFonts w:ascii="Times New Roman" w:hAnsi="Times New Roman"/>
                <w:bCs/>
              </w:rPr>
            </w:pPr>
            <w:r w:rsidRPr="00F27D78">
              <w:rPr>
                <w:rFonts w:ascii="Times New Roman" w:hAnsi="Times New Roman"/>
                <w:b/>
                <w:sz w:val="26"/>
                <w:szCs w:val="26"/>
              </w:rPr>
              <w:t>THANH TRA TỈNH</w:t>
            </w:r>
          </w:p>
          <w:p w:rsidR="00FE5DDF" w:rsidRPr="00E66075" w:rsidRDefault="004A47F4" w:rsidP="00B847D0">
            <w:pPr>
              <w:pStyle w:val="Footer"/>
              <w:tabs>
                <w:tab w:val="left" w:pos="720"/>
              </w:tabs>
              <w:jc w:val="center"/>
              <w:rPr>
                <w:rFonts w:ascii="Times New Roman" w:hAnsi="Times New Roman"/>
                <w:bCs/>
              </w:rPr>
            </w:pPr>
            <w:r>
              <w:rPr>
                <w:rFonts w:ascii="Times New Roman" w:hAnsi="Times New Roman"/>
                <w:b/>
                <w:noProof/>
              </w:rPr>
              <w:pict>
                <v:shapetype id="_x0000_t32" coordsize="21600,21600" o:spt="32" o:oned="t" path="m,l21600,21600e" filled="f">
                  <v:path arrowok="t" fillok="f" o:connecttype="none"/>
                  <o:lock v:ext="edit" shapetype="t"/>
                </v:shapetype>
                <v:shape id="AutoShape 12" o:spid="_x0000_s1026" type="#_x0000_t32" style="position:absolute;left:0;text-align:left;margin-left:45.05pt;margin-top:2pt;width:51.2pt;height:0;z-index:251662336;visibility:visible;mso-wrap-distance-top:-1e-4mm;mso-wrap-distance-bottom:-1e-4mm"/>
              </w:pict>
            </w:r>
          </w:p>
          <w:p w:rsidR="00FE5DDF" w:rsidRPr="00F27D78" w:rsidRDefault="00FE5DDF" w:rsidP="000C3F22">
            <w:pPr>
              <w:pStyle w:val="Footer"/>
              <w:tabs>
                <w:tab w:val="left" w:pos="720"/>
              </w:tabs>
              <w:spacing w:before="120"/>
              <w:jc w:val="center"/>
              <w:rPr>
                <w:rFonts w:ascii="Times New Roman" w:hAnsi="Times New Roman"/>
                <w:b/>
                <w:i/>
                <w:iCs/>
                <w:sz w:val="26"/>
                <w:szCs w:val="26"/>
              </w:rPr>
            </w:pPr>
            <w:r w:rsidRPr="00F27D78">
              <w:rPr>
                <w:rFonts w:ascii="Times New Roman" w:hAnsi="Times New Roman"/>
                <w:bCs/>
                <w:sz w:val="26"/>
                <w:szCs w:val="26"/>
              </w:rPr>
              <w:t>Số:</w:t>
            </w:r>
            <w:r w:rsidR="00E42518">
              <w:rPr>
                <w:rFonts w:ascii="Times New Roman" w:hAnsi="Times New Roman"/>
                <w:bCs/>
                <w:sz w:val="26"/>
                <w:szCs w:val="26"/>
              </w:rPr>
              <w:t xml:space="preserve"> 31</w:t>
            </w:r>
            <w:r w:rsidRPr="00F27D78">
              <w:rPr>
                <w:rFonts w:ascii="Times New Roman" w:hAnsi="Times New Roman"/>
                <w:bCs/>
                <w:sz w:val="26"/>
                <w:szCs w:val="26"/>
              </w:rPr>
              <w:t>/KL-TT</w:t>
            </w:r>
            <w:r w:rsidR="004A47F4">
              <w:rPr>
                <w:rFonts w:ascii="Times New Roman" w:hAnsi="Times New Roman"/>
                <w:b/>
                <w:i/>
                <w:noProof/>
                <w:sz w:val="26"/>
                <w:szCs w:val="26"/>
              </w:rPr>
              <w:pict>
                <v:line id="Straight Connector 5" o:spid="_x0000_s1030" style="position:absolute;left:0;text-align:left;z-index:251659264;visibility:visible;mso-wrap-distance-left:3.17456mm;mso-wrap-distance-top:-1e-4mm;mso-wrap-distance-right:3.17456mm;mso-wrap-distance-bottom:-1e-4mm;mso-position-horizontal-relative:text;mso-position-vertical-relative:text" from="23.45pt,29.2pt" to="23.45pt,29.2pt"/>
              </w:pict>
            </w:r>
          </w:p>
        </w:tc>
        <w:tc>
          <w:tcPr>
            <w:tcW w:w="6237" w:type="dxa"/>
          </w:tcPr>
          <w:p w:rsidR="00FE5DDF" w:rsidRPr="00F27D78" w:rsidRDefault="00FE5DDF" w:rsidP="00B847D0">
            <w:pPr>
              <w:jc w:val="center"/>
              <w:rPr>
                <w:b/>
                <w:sz w:val="26"/>
                <w:szCs w:val="26"/>
              </w:rPr>
            </w:pPr>
            <w:r w:rsidRPr="00F27D78">
              <w:rPr>
                <w:b/>
                <w:sz w:val="26"/>
                <w:szCs w:val="26"/>
              </w:rPr>
              <w:t xml:space="preserve">     CỘNG HOÀ XÃ HỘI CHỦ NGHĨA VIỆT NAM</w:t>
            </w:r>
          </w:p>
          <w:p w:rsidR="00FE5DDF" w:rsidRPr="00F27D78" w:rsidRDefault="00350A2D" w:rsidP="00B847D0">
            <w:pPr>
              <w:pStyle w:val="Heading9"/>
              <w:spacing w:before="0"/>
            </w:pPr>
            <w:r>
              <w:rPr>
                <w:bCs/>
                <w:iCs/>
              </w:rPr>
              <w:t xml:space="preserve">    </w:t>
            </w:r>
            <w:r w:rsidR="00FE5DDF" w:rsidRPr="00F27D78">
              <w:rPr>
                <w:rFonts w:hint="eastAsia"/>
                <w:bCs/>
                <w:iCs/>
              </w:rPr>
              <w:t>Đ</w:t>
            </w:r>
            <w:r w:rsidR="00FE5DDF" w:rsidRPr="00F27D78">
              <w:rPr>
                <w:bCs/>
                <w:iCs/>
              </w:rPr>
              <w:t>ộc lập - Tự do - Hạnh phúc</w:t>
            </w:r>
          </w:p>
          <w:p w:rsidR="00FE5DDF" w:rsidRPr="00E66075" w:rsidRDefault="004A47F4" w:rsidP="00B847D0">
            <w:pPr>
              <w:jc w:val="center"/>
              <w:rPr>
                <w:i/>
                <w:iCs/>
                <w:sz w:val="26"/>
                <w:szCs w:val="26"/>
              </w:rPr>
            </w:pPr>
            <w:r>
              <w:rPr>
                <w:noProof/>
                <w:sz w:val="26"/>
                <w:szCs w:val="26"/>
              </w:rPr>
              <w:pict>
                <v:shape id="AutoShape 11" o:spid="_x0000_s1029" type="#_x0000_t32" style="position:absolute;left:0;text-align:left;margin-left:75.65pt;margin-top:2.8pt;width:167.25pt;height:0;z-index:251661312;visibility:visible;mso-wrap-distance-top:-1e-4mm;mso-wrap-distance-bottom:-1e-4mm"/>
              </w:pict>
            </w:r>
          </w:p>
          <w:p w:rsidR="00FE5DDF" w:rsidRPr="00F27D78" w:rsidRDefault="00350A2D" w:rsidP="00EC0E6D">
            <w:pPr>
              <w:spacing w:before="120"/>
              <w:jc w:val="both"/>
              <w:rPr>
                <w:i/>
                <w:iCs/>
                <w:sz w:val="28"/>
                <w:szCs w:val="28"/>
              </w:rPr>
            </w:pPr>
            <w:r>
              <w:rPr>
                <w:i/>
                <w:iCs/>
                <w:sz w:val="28"/>
                <w:szCs w:val="28"/>
              </w:rPr>
              <w:t xml:space="preserve">                </w:t>
            </w:r>
            <w:r w:rsidR="00FE5DDF" w:rsidRPr="00F27D78">
              <w:rPr>
                <w:i/>
                <w:iCs/>
                <w:sz w:val="28"/>
                <w:szCs w:val="28"/>
              </w:rPr>
              <w:t>Hà Tĩnh, ngày</w:t>
            </w:r>
            <w:r w:rsidR="00E42518">
              <w:rPr>
                <w:i/>
                <w:iCs/>
                <w:sz w:val="28"/>
                <w:szCs w:val="28"/>
              </w:rPr>
              <w:t xml:space="preserve"> 13</w:t>
            </w:r>
            <w:r>
              <w:rPr>
                <w:i/>
                <w:iCs/>
                <w:sz w:val="28"/>
                <w:szCs w:val="28"/>
              </w:rPr>
              <w:t xml:space="preserve"> </w:t>
            </w:r>
            <w:r w:rsidR="008A55E6">
              <w:rPr>
                <w:i/>
                <w:iCs/>
                <w:sz w:val="28"/>
                <w:szCs w:val="28"/>
              </w:rPr>
              <w:t>tháng</w:t>
            </w:r>
            <w:r>
              <w:rPr>
                <w:i/>
                <w:iCs/>
                <w:sz w:val="28"/>
                <w:szCs w:val="28"/>
              </w:rPr>
              <w:t xml:space="preserve"> </w:t>
            </w:r>
            <w:r w:rsidR="00EC0E6D">
              <w:rPr>
                <w:i/>
                <w:iCs/>
                <w:sz w:val="28"/>
                <w:szCs w:val="28"/>
              </w:rPr>
              <w:t>10</w:t>
            </w:r>
            <w:r>
              <w:rPr>
                <w:i/>
                <w:iCs/>
                <w:sz w:val="28"/>
                <w:szCs w:val="28"/>
              </w:rPr>
              <w:t xml:space="preserve"> </w:t>
            </w:r>
            <w:r w:rsidR="00FE5DDF" w:rsidRPr="00F27D78">
              <w:rPr>
                <w:i/>
                <w:iCs/>
                <w:sz w:val="28"/>
                <w:szCs w:val="28"/>
              </w:rPr>
              <w:t>năm 202</w:t>
            </w:r>
            <w:r w:rsidR="008A55E6">
              <w:rPr>
                <w:i/>
                <w:iCs/>
                <w:sz w:val="28"/>
                <w:szCs w:val="28"/>
              </w:rPr>
              <w:t>1</w:t>
            </w:r>
          </w:p>
        </w:tc>
      </w:tr>
    </w:tbl>
    <w:p w:rsidR="00543627" w:rsidRDefault="00543627" w:rsidP="00FE5DDF">
      <w:pPr>
        <w:pStyle w:val="Heading9"/>
        <w:spacing w:before="0"/>
        <w:rPr>
          <w:bCs/>
          <w:sz w:val="26"/>
          <w:szCs w:val="26"/>
        </w:rPr>
      </w:pPr>
    </w:p>
    <w:p w:rsidR="00FE5DDF" w:rsidRPr="002D69CF" w:rsidRDefault="00D2019F" w:rsidP="00FE5DDF">
      <w:pPr>
        <w:pStyle w:val="Heading9"/>
        <w:spacing w:before="0"/>
        <w:rPr>
          <w:bCs/>
          <w:sz w:val="26"/>
        </w:rPr>
      </w:pPr>
      <w:r w:rsidRPr="002D69CF">
        <w:rPr>
          <w:bCs/>
          <w:sz w:val="26"/>
        </w:rPr>
        <w:t>KẾT LUẬN THANH TRA</w:t>
      </w:r>
    </w:p>
    <w:p w:rsidR="00FE5DDF" w:rsidRPr="00AE694F" w:rsidRDefault="00D2019F" w:rsidP="00FE5DDF">
      <w:pPr>
        <w:jc w:val="center"/>
        <w:rPr>
          <w:b/>
          <w:sz w:val="28"/>
          <w:szCs w:val="28"/>
        </w:rPr>
      </w:pPr>
      <w:r w:rsidRPr="00AE694F">
        <w:rPr>
          <w:b/>
          <w:sz w:val="28"/>
          <w:szCs w:val="28"/>
        </w:rPr>
        <w:t>T</w:t>
      </w:r>
      <w:r w:rsidRPr="00AE694F">
        <w:rPr>
          <w:b/>
          <w:sz w:val="28"/>
          <w:szCs w:val="28"/>
          <w:lang w:val="nl-NL"/>
        </w:rPr>
        <w:t xml:space="preserve">ại </w:t>
      </w:r>
      <w:r w:rsidRPr="00AE694F">
        <w:rPr>
          <w:b/>
          <w:sz w:val="28"/>
          <w:szCs w:val="28"/>
        </w:rPr>
        <w:t xml:space="preserve">Công ty Cổ phần </w:t>
      </w:r>
      <w:r w:rsidR="00EC0E6D">
        <w:rPr>
          <w:b/>
          <w:sz w:val="28"/>
          <w:szCs w:val="28"/>
        </w:rPr>
        <w:t>Hồng Vượng</w:t>
      </w:r>
    </w:p>
    <w:p w:rsidR="00F05255" w:rsidRDefault="004A47F4" w:rsidP="00B12D72">
      <w:pPr>
        <w:spacing w:before="60" w:after="60"/>
        <w:ind w:firstLine="539"/>
        <w:jc w:val="center"/>
        <w:rPr>
          <w:sz w:val="28"/>
          <w:szCs w:val="28"/>
        </w:rPr>
      </w:pPr>
      <w:r>
        <w:rPr>
          <w:noProof/>
          <w:sz w:val="28"/>
          <w:szCs w:val="28"/>
        </w:rPr>
        <w:pict>
          <v:line id="Straight Connector 3" o:spid="_x0000_s1028" style="position:absolute;left:0;text-align:left;z-index:251660288;visibility:visible;mso-wrap-distance-top:-1e-4mm;mso-wrap-distance-bottom:-1e-4mm" from="197.35pt,2.95pt" to="269.25pt,2.95pt"/>
        </w:pict>
      </w:r>
    </w:p>
    <w:p w:rsidR="004F372D" w:rsidRDefault="00EC0E6D" w:rsidP="00BF3E8F">
      <w:pPr>
        <w:tabs>
          <w:tab w:val="left" w:pos="5812"/>
        </w:tabs>
        <w:spacing w:after="10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rPr>
        <w:t>Thực hiện Quyết định số 91/QĐ-TT ngày 29/7/2021 của Chánh Thanh tra tỉnh về thanh tra việc chấp hành quy định của pháp luật về: Doanh nghiệp, đất đai, đầu tư xây dựng; thực hiện nghĩa vụ đối với Nhà nước và người lao động tại Công ty Cổ phần Hồng Vượng năm 2019, 2020; từ ngày 23/8/2021 đến ngày 10/9/2021, Đoàn thanh tra đã tiến hành thu thập hồ sơ, tài liệu, trực tiếp làm việc, kiểm tra Công ty.</w:t>
      </w:r>
    </w:p>
    <w:p w:rsidR="00FE5DDF" w:rsidRPr="006370BA" w:rsidRDefault="004A47F4" w:rsidP="00EC0E6D">
      <w:pPr>
        <w:spacing w:before="120" w:after="120"/>
        <w:ind w:firstLine="709"/>
        <w:jc w:val="both"/>
        <w:rPr>
          <w:rFonts w:asciiTheme="majorHAnsi" w:hAnsiTheme="majorHAnsi" w:cstheme="majorHAnsi"/>
          <w:sz w:val="28"/>
          <w:szCs w:val="28"/>
          <w:lang w:val="nl-NL"/>
        </w:rPr>
      </w:pPr>
      <w:r>
        <w:rPr>
          <w:rFonts w:asciiTheme="majorHAnsi" w:hAnsiTheme="majorHAnsi" w:cstheme="majorHAnsi"/>
          <w:noProof/>
          <w:sz w:val="28"/>
          <w:szCs w:val="28"/>
        </w:rPr>
        <w:pict>
          <v:line id="Straight Connector 2" o:spid="_x0000_s1027" style="position:absolute;left:0;text-align:left;z-index:251664384;visibility:visible;mso-wrap-distance-top:-1e-4mm;mso-wrap-distance-bottom:-1e-4mm" from="542.7pt,5.3pt" to="626.45pt,5.3pt"/>
        </w:pict>
      </w:r>
      <w:r w:rsidR="00EC0E6D" w:rsidRPr="006370BA">
        <w:rPr>
          <w:rFonts w:asciiTheme="majorHAnsi" w:hAnsiTheme="majorHAnsi" w:cstheme="majorHAnsi"/>
          <w:sz w:val="28"/>
          <w:szCs w:val="28"/>
          <w:lang w:val="nl-NL"/>
        </w:rPr>
        <w:t xml:space="preserve">Xét Báo cáo kết quả thanh tra số 06/BC-ĐTT ngày </w:t>
      </w:r>
      <w:r w:rsidR="00B9275E" w:rsidRPr="00B9275E">
        <w:rPr>
          <w:rFonts w:asciiTheme="majorHAnsi" w:hAnsiTheme="majorHAnsi" w:cstheme="majorHAnsi"/>
          <w:sz w:val="28"/>
          <w:szCs w:val="28"/>
          <w:lang w:val="nl-NL"/>
        </w:rPr>
        <w:t>22/9</w:t>
      </w:r>
      <w:r w:rsidR="00EC0E6D" w:rsidRPr="00B9275E">
        <w:rPr>
          <w:rFonts w:asciiTheme="majorHAnsi" w:hAnsiTheme="majorHAnsi" w:cstheme="majorHAnsi"/>
          <w:sz w:val="28"/>
          <w:szCs w:val="28"/>
          <w:lang w:val="nl-NL"/>
        </w:rPr>
        <w:t>/2021</w:t>
      </w:r>
      <w:r w:rsidR="00EC0E6D" w:rsidRPr="006370BA">
        <w:rPr>
          <w:rFonts w:asciiTheme="majorHAnsi" w:hAnsiTheme="majorHAnsi" w:cstheme="majorHAnsi"/>
          <w:sz w:val="28"/>
          <w:szCs w:val="28"/>
          <w:lang w:val="nl-NL"/>
        </w:rPr>
        <w:t xml:space="preserve"> của Trưởng Đoàn thanh tra; các hồ sơ tài liệu liên quan; Chánh Thanh tra tỉnh kết luận như sau:</w:t>
      </w:r>
    </w:p>
    <w:p w:rsidR="00FE5DDF" w:rsidRPr="004645DA" w:rsidRDefault="00FE5DDF" w:rsidP="00EC73DF">
      <w:pPr>
        <w:spacing w:before="120" w:after="120"/>
        <w:ind w:firstLine="709"/>
        <w:jc w:val="both"/>
        <w:rPr>
          <w:rFonts w:asciiTheme="majorHAnsi" w:hAnsiTheme="majorHAnsi" w:cstheme="majorHAnsi"/>
          <w:b/>
          <w:sz w:val="26"/>
          <w:szCs w:val="28"/>
          <w:lang w:val="nl-NL"/>
        </w:rPr>
      </w:pPr>
      <w:r w:rsidRPr="004645DA">
        <w:rPr>
          <w:rFonts w:asciiTheme="majorHAnsi" w:hAnsiTheme="majorHAnsi" w:cstheme="majorHAnsi"/>
          <w:b/>
          <w:sz w:val="26"/>
          <w:szCs w:val="28"/>
          <w:lang w:val="nl-NL"/>
        </w:rPr>
        <w:t>I. KHÁI QUÁT CHUNG</w:t>
      </w:r>
    </w:p>
    <w:p w:rsidR="00FE5DDF" w:rsidRPr="006370BA" w:rsidRDefault="00EC0E6D" w:rsidP="00EC73DF">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iCs/>
          <w:sz w:val="28"/>
          <w:szCs w:val="28"/>
          <w:lang w:val="vi-VN"/>
        </w:rPr>
        <w:t xml:space="preserve">Công ty </w:t>
      </w:r>
      <w:r w:rsidR="004F372D" w:rsidRPr="00BF3E8F">
        <w:rPr>
          <w:rFonts w:asciiTheme="majorHAnsi" w:hAnsiTheme="majorHAnsi" w:cstheme="majorHAnsi"/>
          <w:iCs/>
          <w:sz w:val="28"/>
          <w:szCs w:val="28"/>
          <w:lang w:val="nl-NL"/>
        </w:rPr>
        <w:t>Cổ phần Hồng Vượng (sau đây gọi tắt là Công ty)</w:t>
      </w:r>
      <w:r w:rsidR="004F372D" w:rsidRPr="00BF3E8F">
        <w:rPr>
          <w:rFonts w:asciiTheme="majorHAnsi" w:hAnsiTheme="majorHAnsi" w:cstheme="majorHAnsi"/>
          <w:sz w:val="28"/>
          <w:szCs w:val="28"/>
          <w:lang w:val="nl-NL"/>
        </w:rPr>
        <w:t xml:space="preserve"> hoạt động theo Giấy chứng nhận đăng ký kinh doanh do Sở Kế hoạch và Đầu tư Hà Tĩnh cấp lần đầu ngày 23/9/2008, số 2803000561; đ</w:t>
      </w:r>
      <w:r w:rsidRPr="006370BA">
        <w:rPr>
          <w:rFonts w:asciiTheme="majorHAnsi" w:hAnsiTheme="majorHAnsi" w:cstheme="majorHAnsi"/>
          <w:sz w:val="28"/>
          <w:szCs w:val="28"/>
          <w:lang w:val="vi-VN"/>
        </w:rPr>
        <w:t xml:space="preserve">ăng ký thay đổi lần thứ </w:t>
      </w:r>
      <w:r w:rsidR="004F372D" w:rsidRPr="00BF3E8F">
        <w:rPr>
          <w:rFonts w:asciiTheme="majorHAnsi" w:hAnsiTheme="majorHAnsi" w:cstheme="majorHAnsi"/>
          <w:sz w:val="28"/>
          <w:szCs w:val="28"/>
          <w:lang w:val="nl-NL"/>
        </w:rPr>
        <w:t xml:space="preserve">nhất </w:t>
      </w:r>
      <w:r w:rsidRPr="006370BA">
        <w:rPr>
          <w:rFonts w:asciiTheme="majorHAnsi" w:hAnsiTheme="majorHAnsi" w:cstheme="majorHAnsi"/>
          <w:sz w:val="28"/>
          <w:szCs w:val="28"/>
          <w:lang w:val="vi-VN"/>
        </w:rPr>
        <w:t>(</w:t>
      </w:r>
      <w:r w:rsidR="004F372D" w:rsidRPr="00BF3E8F">
        <w:rPr>
          <w:rFonts w:asciiTheme="majorHAnsi" w:hAnsiTheme="majorHAnsi" w:cstheme="majorHAnsi"/>
          <w:sz w:val="28"/>
          <w:szCs w:val="28"/>
          <w:lang w:val="nl-NL"/>
        </w:rPr>
        <w:t>n</w:t>
      </w:r>
      <w:r w:rsidRPr="006370BA">
        <w:rPr>
          <w:rFonts w:asciiTheme="majorHAnsi" w:hAnsiTheme="majorHAnsi" w:cstheme="majorHAnsi"/>
          <w:sz w:val="28"/>
          <w:szCs w:val="28"/>
          <w:lang w:val="vi-VN"/>
        </w:rPr>
        <w:t xml:space="preserve">gày </w:t>
      </w:r>
      <w:r w:rsidR="004F372D" w:rsidRPr="00BF3E8F">
        <w:rPr>
          <w:rFonts w:asciiTheme="majorHAnsi" w:hAnsiTheme="majorHAnsi" w:cstheme="majorHAnsi"/>
          <w:sz w:val="28"/>
          <w:szCs w:val="28"/>
          <w:lang w:val="nl-NL"/>
        </w:rPr>
        <w:t>28/01/2010</w:t>
      </w:r>
      <w:r w:rsidRPr="006370BA">
        <w:rPr>
          <w:rFonts w:asciiTheme="majorHAnsi" w:hAnsiTheme="majorHAnsi" w:cstheme="majorHAnsi"/>
          <w:sz w:val="28"/>
          <w:szCs w:val="28"/>
          <w:lang w:val="vi-VN"/>
        </w:rPr>
        <w:t xml:space="preserve">), với </w:t>
      </w:r>
      <w:r w:rsidR="004F372D" w:rsidRPr="00BF3E8F">
        <w:rPr>
          <w:rFonts w:asciiTheme="majorHAnsi" w:hAnsiTheme="majorHAnsi" w:cstheme="majorHAnsi"/>
          <w:sz w:val="28"/>
          <w:szCs w:val="28"/>
          <w:lang w:val="nl-NL"/>
        </w:rPr>
        <w:t>MSDN/</w:t>
      </w:r>
      <w:r w:rsidRPr="006370BA">
        <w:rPr>
          <w:rFonts w:asciiTheme="majorHAnsi" w:hAnsiTheme="majorHAnsi" w:cstheme="majorHAnsi"/>
          <w:sz w:val="28"/>
          <w:szCs w:val="28"/>
          <w:lang w:val="vi-VN"/>
        </w:rPr>
        <w:t>MS</w:t>
      </w:r>
      <w:r w:rsidR="004F372D" w:rsidRPr="00BF3E8F">
        <w:rPr>
          <w:rFonts w:asciiTheme="majorHAnsi" w:hAnsiTheme="majorHAnsi" w:cstheme="majorHAnsi"/>
          <w:sz w:val="28"/>
          <w:szCs w:val="28"/>
          <w:lang w:val="nl-NL"/>
        </w:rPr>
        <w:t xml:space="preserve">T: </w:t>
      </w:r>
      <w:r w:rsidRPr="006370BA">
        <w:rPr>
          <w:rFonts w:asciiTheme="majorHAnsi" w:hAnsiTheme="majorHAnsi" w:cstheme="majorHAnsi"/>
          <w:sz w:val="28"/>
          <w:szCs w:val="28"/>
          <w:lang w:val="vi-VN"/>
        </w:rPr>
        <w:t>3000440782</w:t>
      </w:r>
      <w:r w:rsidR="00FE5DDF" w:rsidRPr="006370BA">
        <w:rPr>
          <w:rFonts w:asciiTheme="majorHAnsi" w:hAnsiTheme="majorHAnsi" w:cstheme="majorHAnsi"/>
          <w:sz w:val="28"/>
          <w:szCs w:val="28"/>
          <w:lang w:val="nl-NL"/>
        </w:rPr>
        <w:t xml:space="preserve">; vốn điều lệ: </w:t>
      </w:r>
      <w:r w:rsidRPr="006370BA">
        <w:rPr>
          <w:rFonts w:asciiTheme="majorHAnsi" w:hAnsiTheme="majorHAnsi" w:cstheme="majorHAnsi"/>
          <w:sz w:val="28"/>
          <w:szCs w:val="28"/>
          <w:lang w:val="nl-NL"/>
        </w:rPr>
        <w:t>09</w:t>
      </w:r>
      <w:r w:rsidR="00350A2D">
        <w:rPr>
          <w:rFonts w:asciiTheme="majorHAnsi" w:hAnsiTheme="majorHAnsi" w:cstheme="majorHAnsi"/>
          <w:sz w:val="28"/>
          <w:szCs w:val="28"/>
          <w:lang w:val="nl-NL"/>
        </w:rPr>
        <w:t xml:space="preserve"> </w:t>
      </w:r>
      <w:r w:rsidR="00FE5DDF" w:rsidRPr="006370BA">
        <w:rPr>
          <w:rFonts w:asciiTheme="majorHAnsi" w:hAnsiTheme="majorHAnsi" w:cstheme="majorHAnsi"/>
          <w:sz w:val="28"/>
          <w:szCs w:val="28"/>
          <w:lang w:val="nl-NL"/>
        </w:rPr>
        <w:t>tỷ đồng.</w:t>
      </w:r>
    </w:p>
    <w:p w:rsidR="00FE5DDF" w:rsidRPr="006370BA" w:rsidRDefault="00FE5DDF" w:rsidP="00EC73DF">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 xml:space="preserve">Địa chỉ trụ sở chính: </w:t>
      </w:r>
      <w:r w:rsidR="004F372D" w:rsidRPr="00BF3E8F">
        <w:rPr>
          <w:rFonts w:asciiTheme="majorHAnsi" w:hAnsiTheme="majorHAnsi" w:cstheme="majorHAnsi"/>
          <w:iCs/>
          <w:sz w:val="28"/>
          <w:szCs w:val="28"/>
          <w:lang w:val="nl-NL"/>
        </w:rPr>
        <w:t>Xóm 15, xã Vượng Lộc, huyện Can Lộc</w:t>
      </w:r>
      <w:r w:rsidR="00EC0E6D" w:rsidRPr="006370BA">
        <w:rPr>
          <w:rFonts w:asciiTheme="majorHAnsi" w:hAnsiTheme="majorHAnsi" w:cstheme="majorHAnsi"/>
          <w:iCs/>
          <w:sz w:val="28"/>
          <w:szCs w:val="28"/>
          <w:lang w:val="vi-VN"/>
        </w:rPr>
        <w:t>, tỉnh Hà Tĩnh</w:t>
      </w:r>
      <w:r w:rsidRPr="006370BA">
        <w:rPr>
          <w:rFonts w:asciiTheme="majorHAnsi" w:hAnsiTheme="majorHAnsi" w:cstheme="majorHAnsi"/>
          <w:sz w:val="28"/>
          <w:szCs w:val="28"/>
          <w:lang w:val="nl-NL"/>
        </w:rPr>
        <w:t>.</w:t>
      </w:r>
    </w:p>
    <w:p w:rsidR="00FE5DDF" w:rsidRPr="006370BA" w:rsidRDefault="00FE5DDF" w:rsidP="00EC73DF">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vi-VN"/>
        </w:rPr>
        <w:t>Người đại diện theo pháp luật</w:t>
      </w:r>
      <w:r w:rsidR="00895CC6" w:rsidRPr="006370BA">
        <w:rPr>
          <w:rFonts w:asciiTheme="majorHAnsi" w:hAnsiTheme="majorHAnsi" w:cstheme="majorHAnsi"/>
          <w:sz w:val="28"/>
          <w:szCs w:val="28"/>
          <w:lang w:val="nl-NL"/>
        </w:rPr>
        <w:t>:</w:t>
      </w:r>
      <w:r w:rsidR="00350A2D">
        <w:rPr>
          <w:rFonts w:asciiTheme="majorHAnsi" w:hAnsiTheme="majorHAnsi" w:cstheme="majorHAnsi"/>
          <w:sz w:val="28"/>
          <w:szCs w:val="28"/>
          <w:lang w:val="nl-NL"/>
        </w:rPr>
        <w:t xml:space="preserve"> </w:t>
      </w:r>
      <w:r w:rsidR="004F372D" w:rsidRPr="00BF3E8F">
        <w:rPr>
          <w:rFonts w:asciiTheme="majorHAnsi" w:hAnsiTheme="majorHAnsi" w:cstheme="majorHAnsi"/>
          <w:sz w:val="28"/>
          <w:szCs w:val="28"/>
          <w:lang w:val="nl-NL"/>
        </w:rPr>
        <w:t>Ô</w:t>
      </w:r>
      <w:r w:rsidR="00895CC6" w:rsidRPr="006370BA">
        <w:rPr>
          <w:rFonts w:asciiTheme="majorHAnsi" w:hAnsiTheme="majorHAnsi" w:cstheme="majorHAnsi"/>
          <w:sz w:val="28"/>
          <w:szCs w:val="28"/>
          <w:lang w:val="vi-VN"/>
        </w:rPr>
        <w:t xml:space="preserve">ng </w:t>
      </w:r>
      <w:r w:rsidR="004F372D" w:rsidRPr="00BF3E8F">
        <w:rPr>
          <w:rFonts w:asciiTheme="majorHAnsi" w:hAnsiTheme="majorHAnsi" w:cstheme="majorHAnsi"/>
          <w:sz w:val="28"/>
          <w:szCs w:val="28"/>
          <w:lang w:val="nl-NL"/>
        </w:rPr>
        <w:t>Trần Viết Hạnh</w:t>
      </w:r>
      <w:r w:rsidR="00895CC6" w:rsidRPr="006370BA">
        <w:rPr>
          <w:rFonts w:asciiTheme="majorHAnsi" w:hAnsiTheme="majorHAnsi" w:cstheme="majorHAnsi"/>
          <w:sz w:val="28"/>
          <w:szCs w:val="28"/>
          <w:lang w:val="nl-NL"/>
        </w:rPr>
        <w:t>, chức danh Chủ tịch HĐQT kiêm Giám đốc công ty, sinh ngày 19/05/1952; Dân tộc: Kinh; Quốc tịch: Việt Nam</w:t>
      </w:r>
      <w:r w:rsidRPr="006370BA">
        <w:rPr>
          <w:rFonts w:asciiTheme="majorHAnsi" w:hAnsiTheme="majorHAnsi" w:cstheme="majorHAnsi"/>
          <w:sz w:val="28"/>
          <w:szCs w:val="28"/>
          <w:lang w:val="vi-VN"/>
        </w:rPr>
        <w:t>.</w:t>
      </w:r>
    </w:p>
    <w:p w:rsidR="00251090" w:rsidRPr="006370BA" w:rsidRDefault="00895CC6" w:rsidP="00EC73DF">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vi-VN"/>
        </w:rPr>
        <w:t xml:space="preserve">Ngành nghề kinh doanh: </w:t>
      </w:r>
      <w:r w:rsidR="004F372D" w:rsidRPr="00BF3E8F">
        <w:rPr>
          <w:rFonts w:asciiTheme="majorHAnsi" w:hAnsiTheme="majorHAnsi" w:cstheme="majorHAnsi"/>
          <w:sz w:val="28"/>
          <w:szCs w:val="28"/>
          <w:lang w:val="nl-NL"/>
        </w:rPr>
        <w:t>Khai thác, chế biến, kinh doanh vật liệu xây dựng (đá, cát, sỏi, đất); Dịch vụ vận tải hàng hóa bằng đường bộ, bốc xếp hàng hóa đường bộ</w:t>
      </w:r>
      <w:r w:rsidR="00AE694F" w:rsidRPr="006370BA">
        <w:rPr>
          <w:rFonts w:asciiTheme="majorHAnsi" w:hAnsiTheme="majorHAnsi" w:cstheme="majorHAnsi"/>
          <w:sz w:val="28"/>
          <w:szCs w:val="28"/>
          <w:lang w:val="nl-NL"/>
        </w:rPr>
        <w:t>.</w:t>
      </w:r>
    </w:p>
    <w:p w:rsidR="00FD4CEC" w:rsidRPr="006370BA" w:rsidRDefault="00895CC6" w:rsidP="00EC73DF">
      <w:pPr>
        <w:widowControl w:val="0"/>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Tổ chức bộ máy g</w:t>
      </w:r>
      <w:r w:rsidRPr="006370BA">
        <w:rPr>
          <w:rFonts w:asciiTheme="majorHAnsi" w:hAnsiTheme="majorHAnsi" w:cstheme="majorHAnsi"/>
          <w:sz w:val="28"/>
          <w:szCs w:val="28"/>
          <w:lang w:val="vi-VN"/>
        </w:rPr>
        <w:t>ồm</w:t>
      </w:r>
      <w:r w:rsidRPr="006370BA">
        <w:rPr>
          <w:rFonts w:asciiTheme="majorHAnsi" w:hAnsiTheme="majorHAnsi" w:cstheme="majorHAnsi"/>
          <w:sz w:val="28"/>
          <w:szCs w:val="28"/>
          <w:lang w:val="nl-NL"/>
        </w:rPr>
        <w:t xml:space="preserve">: Hội đồng quản trị, Giám đốc, Phó Giám đốc; </w:t>
      </w:r>
      <w:r w:rsidR="00221771">
        <w:rPr>
          <w:rFonts w:asciiTheme="majorHAnsi" w:hAnsiTheme="majorHAnsi" w:cstheme="majorHAnsi"/>
          <w:sz w:val="28"/>
          <w:szCs w:val="28"/>
          <w:lang w:val="nl-NL"/>
        </w:rPr>
        <w:t>4</w:t>
      </w:r>
      <w:r w:rsidR="00350A2D">
        <w:rPr>
          <w:rFonts w:asciiTheme="majorHAnsi" w:hAnsiTheme="majorHAnsi" w:cstheme="majorHAnsi"/>
          <w:sz w:val="28"/>
          <w:szCs w:val="28"/>
          <w:lang w:val="nl-NL"/>
        </w:rPr>
        <w:t xml:space="preserve"> </w:t>
      </w:r>
      <w:r w:rsidRPr="006370BA">
        <w:rPr>
          <w:rFonts w:asciiTheme="majorHAnsi" w:hAnsiTheme="majorHAnsi" w:cstheme="majorHAnsi"/>
          <w:sz w:val="28"/>
          <w:szCs w:val="28"/>
          <w:lang w:val="nl-NL"/>
        </w:rPr>
        <w:t>Bộ phận</w:t>
      </w:r>
      <w:r w:rsidR="0013151C">
        <w:rPr>
          <w:rFonts w:asciiTheme="majorHAnsi" w:hAnsiTheme="majorHAnsi" w:cstheme="majorHAnsi"/>
          <w:sz w:val="28"/>
          <w:szCs w:val="28"/>
          <w:lang w:val="nl-NL"/>
        </w:rPr>
        <w:t>:</w:t>
      </w:r>
      <w:r w:rsidRPr="006370BA">
        <w:rPr>
          <w:rFonts w:asciiTheme="majorHAnsi" w:hAnsiTheme="majorHAnsi" w:cstheme="majorHAnsi"/>
          <w:sz w:val="28"/>
          <w:szCs w:val="28"/>
          <w:lang w:val="nl-NL"/>
        </w:rPr>
        <w:t xml:space="preserve"> Kế toán; </w:t>
      </w:r>
      <w:r w:rsidR="0013151C">
        <w:rPr>
          <w:rFonts w:asciiTheme="majorHAnsi" w:hAnsiTheme="majorHAnsi" w:cstheme="majorHAnsi"/>
          <w:sz w:val="28"/>
          <w:szCs w:val="28"/>
          <w:lang w:val="nl-NL"/>
        </w:rPr>
        <w:t>K</w:t>
      </w:r>
      <w:r w:rsidRPr="006370BA">
        <w:rPr>
          <w:rFonts w:asciiTheme="majorHAnsi" w:hAnsiTheme="majorHAnsi" w:cstheme="majorHAnsi"/>
          <w:sz w:val="28"/>
          <w:szCs w:val="28"/>
          <w:lang w:val="nl-NL"/>
        </w:rPr>
        <w:t>inh doanh; Kho</w:t>
      </w:r>
      <w:r w:rsidR="00BA436F">
        <w:rPr>
          <w:rFonts w:asciiTheme="majorHAnsi" w:hAnsiTheme="majorHAnsi" w:cstheme="majorHAnsi"/>
          <w:sz w:val="28"/>
          <w:szCs w:val="28"/>
          <w:lang w:val="nl-NL"/>
        </w:rPr>
        <w:t xml:space="preserve"> </w:t>
      </w:r>
      <w:r w:rsidR="0013151C">
        <w:rPr>
          <w:rFonts w:asciiTheme="majorHAnsi" w:hAnsiTheme="majorHAnsi" w:cstheme="majorHAnsi"/>
          <w:sz w:val="28"/>
          <w:szCs w:val="28"/>
          <w:lang w:val="nl-NL"/>
        </w:rPr>
        <w:t xml:space="preserve">và </w:t>
      </w:r>
      <w:r w:rsidRPr="006370BA">
        <w:rPr>
          <w:rFonts w:asciiTheme="majorHAnsi" w:hAnsiTheme="majorHAnsi" w:cstheme="majorHAnsi"/>
          <w:sz w:val="28"/>
          <w:szCs w:val="28"/>
          <w:lang w:val="nl-NL"/>
        </w:rPr>
        <w:t>Bộ phận máy</w:t>
      </w:r>
      <w:r w:rsidR="00FE5DDF" w:rsidRPr="006370BA">
        <w:rPr>
          <w:rFonts w:asciiTheme="majorHAnsi" w:hAnsiTheme="majorHAnsi" w:cstheme="majorHAnsi"/>
          <w:sz w:val="28"/>
          <w:szCs w:val="28"/>
          <w:lang w:val="nl-NL"/>
        </w:rPr>
        <w:t>. Tổng số lao động</w:t>
      </w:r>
      <w:r w:rsidR="00251090" w:rsidRPr="006370BA">
        <w:rPr>
          <w:rFonts w:asciiTheme="majorHAnsi" w:hAnsiTheme="majorHAnsi" w:cstheme="majorHAnsi"/>
          <w:sz w:val="28"/>
          <w:szCs w:val="28"/>
          <w:lang w:val="nl-NL"/>
        </w:rPr>
        <w:t>có đến thời điểm cuối năm 2020</w:t>
      </w:r>
      <w:r w:rsidR="002C45E1" w:rsidRPr="006370BA">
        <w:rPr>
          <w:rFonts w:asciiTheme="majorHAnsi" w:hAnsiTheme="majorHAnsi" w:cstheme="majorHAnsi"/>
          <w:sz w:val="28"/>
          <w:szCs w:val="28"/>
          <w:lang w:val="nl-NL"/>
        </w:rPr>
        <w:t>:</w:t>
      </w:r>
      <w:r w:rsidR="00350A2D">
        <w:rPr>
          <w:rFonts w:asciiTheme="majorHAnsi" w:hAnsiTheme="majorHAnsi" w:cstheme="majorHAnsi"/>
          <w:sz w:val="28"/>
          <w:szCs w:val="28"/>
          <w:lang w:val="nl-NL"/>
        </w:rPr>
        <w:t xml:space="preserve"> </w:t>
      </w:r>
      <w:r w:rsidRPr="006370BA">
        <w:rPr>
          <w:rFonts w:asciiTheme="majorHAnsi" w:hAnsiTheme="majorHAnsi" w:cstheme="majorHAnsi"/>
          <w:sz w:val="28"/>
          <w:szCs w:val="28"/>
          <w:lang w:val="nl-NL"/>
        </w:rPr>
        <w:t>1</w:t>
      </w:r>
      <w:r w:rsidR="008232A3">
        <w:rPr>
          <w:rFonts w:asciiTheme="majorHAnsi" w:hAnsiTheme="majorHAnsi" w:cstheme="majorHAnsi"/>
          <w:sz w:val="28"/>
          <w:szCs w:val="28"/>
          <w:lang w:val="nl-NL"/>
        </w:rPr>
        <w:t>9</w:t>
      </w:r>
      <w:r w:rsidR="00350A2D">
        <w:rPr>
          <w:rFonts w:asciiTheme="majorHAnsi" w:hAnsiTheme="majorHAnsi" w:cstheme="majorHAnsi"/>
          <w:sz w:val="28"/>
          <w:szCs w:val="28"/>
          <w:lang w:val="nl-NL"/>
        </w:rPr>
        <w:t xml:space="preserve"> </w:t>
      </w:r>
      <w:r w:rsidR="00251090" w:rsidRPr="006370BA">
        <w:rPr>
          <w:rFonts w:asciiTheme="majorHAnsi" w:hAnsiTheme="majorHAnsi" w:cstheme="majorHAnsi"/>
          <w:sz w:val="28"/>
          <w:szCs w:val="28"/>
          <w:lang w:val="vi-VN"/>
        </w:rPr>
        <w:t>người</w:t>
      </w:r>
      <w:r w:rsidR="00350A2D" w:rsidRPr="00BF3E8F">
        <w:rPr>
          <w:rFonts w:asciiTheme="majorHAnsi" w:hAnsiTheme="majorHAnsi" w:cstheme="majorHAnsi"/>
          <w:sz w:val="28"/>
          <w:szCs w:val="28"/>
          <w:lang w:val="nl-NL"/>
        </w:rPr>
        <w:t xml:space="preserve"> </w:t>
      </w:r>
      <w:r w:rsidR="008232A3">
        <w:rPr>
          <w:rFonts w:asciiTheme="majorHAnsi" w:hAnsiTheme="majorHAnsi" w:cstheme="majorHAnsi"/>
          <w:sz w:val="28"/>
          <w:szCs w:val="28"/>
          <w:lang w:val="nl-NL"/>
        </w:rPr>
        <w:t xml:space="preserve">(15 </w:t>
      </w:r>
      <w:r w:rsidRPr="006370BA">
        <w:rPr>
          <w:rFonts w:asciiTheme="majorHAnsi" w:hAnsiTheme="majorHAnsi" w:cstheme="majorHAnsi"/>
          <w:sz w:val="28"/>
          <w:szCs w:val="28"/>
          <w:lang w:val="nl-NL"/>
        </w:rPr>
        <w:t xml:space="preserve">hợp đồng lao động không xác định thời hạn, 02 hợp đồng ngắn hạn dưới </w:t>
      </w:r>
      <w:r w:rsidR="00BA436F">
        <w:rPr>
          <w:rFonts w:asciiTheme="majorHAnsi" w:hAnsiTheme="majorHAnsi" w:cstheme="majorHAnsi"/>
          <w:sz w:val="28"/>
          <w:szCs w:val="28"/>
          <w:lang w:val="nl-NL"/>
        </w:rPr>
        <w:t>0</w:t>
      </w:r>
      <w:r w:rsidRPr="006370BA">
        <w:rPr>
          <w:rFonts w:asciiTheme="majorHAnsi" w:hAnsiTheme="majorHAnsi" w:cstheme="majorHAnsi"/>
          <w:sz w:val="28"/>
          <w:szCs w:val="28"/>
          <w:lang w:val="nl-NL"/>
        </w:rPr>
        <w:t>1 tháng</w:t>
      </w:r>
      <w:r w:rsidR="00350A2D">
        <w:rPr>
          <w:rFonts w:asciiTheme="majorHAnsi" w:hAnsiTheme="majorHAnsi" w:cstheme="majorHAnsi"/>
          <w:sz w:val="28"/>
          <w:szCs w:val="28"/>
          <w:lang w:val="nl-NL"/>
        </w:rPr>
        <w:t xml:space="preserve"> </w:t>
      </w:r>
      <w:r w:rsidR="008232A3">
        <w:rPr>
          <w:rFonts w:asciiTheme="majorHAnsi" w:hAnsiTheme="majorHAnsi" w:cstheme="majorHAnsi"/>
          <w:sz w:val="28"/>
          <w:szCs w:val="28"/>
          <w:lang w:val="nl-NL"/>
        </w:rPr>
        <w:t xml:space="preserve">và </w:t>
      </w:r>
      <w:r w:rsidRPr="006370BA">
        <w:rPr>
          <w:rFonts w:asciiTheme="majorHAnsi" w:hAnsiTheme="majorHAnsi" w:cstheme="majorHAnsi"/>
          <w:sz w:val="28"/>
          <w:szCs w:val="28"/>
          <w:lang w:val="nl-NL"/>
        </w:rPr>
        <w:t>02 lao động thời vụ theo giao khoán công việc</w:t>
      </w:r>
      <w:r w:rsidR="008232A3">
        <w:rPr>
          <w:rFonts w:asciiTheme="majorHAnsi" w:hAnsiTheme="majorHAnsi" w:cstheme="majorHAnsi"/>
          <w:sz w:val="28"/>
          <w:szCs w:val="28"/>
          <w:lang w:val="nl-NL"/>
        </w:rPr>
        <w:t>)</w:t>
      </w:r>
      <w:r w:rsidR="00FE5DDF" w:rsidRPr="006370BA">
        <w:rPr>
          <w:rFonts w:asciiTheme="majorHAnsi" w:hAnsiTheme="majorHAnsi" w:cstheme="majorHAnsi"/>
          <w:sz w:val="28"/>
          <w:szCs w:val="28"/>
          <w:lang w:val="nl-NL"/>
        </w:rPr>
        <w:t>.</w:t>
      </w:r>
    </w:p>
    <w:p w:rsidR="00FD4CEC" w:rsidRPr="006370BA" w:rsidRDefault="001F2E0E" w:rsidP="00EC73DF">
      <w:pPr>
        <w:widowControl w:val="0"/>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 xml:space="preserve">Thời điểm kiểm tra </w:t>
      </w:r>
      <w:r w:rsidRPr="006370BA">
        <w:rPr>
          <w:rFonts w:asciiTheme="majorHAnsi" w:hAnsiTheme="majorHAnsi" w:cstheme="majorHAnsi"/>
          <w:sz w:val="28"/>
          <w:szCs w:val="28"/>
          <w:lang w:val="vi-VN"/>
        </w:rPr>
        <w:t xml:space="preserve">Công ty </w:t>
      </w:r>
      <w:r w:rsidRPr="006370BA">
        <w:rPr>
          <w:rFonts w:asciiTheme="majorHAnsi" w:hAnsiTheme="majorHAnsi" w:cstheme="majorHAnsi"/>
          <w:sz w:val="28"/>
          <w:szCs w:val="28"/>
          <w:lang w:val="nl-NL"/>
        </w:rPr>
        <w:t>mở</w:t>
      </w:r>
      <w:r w:rsidR="00895CC6" w:rsidRPr="006370BA">
        <w:rPr>
          <w:rFonts w:asciiTheme="majorHAnsi" w:hAnsiTheme="majorHAnsi" w:cstheme="majorHAnsi"/>
          <w:sz w:val="28"/>
          <w:szCs w:val="28"/>
          <w:lang w:val="nl-NL"/>
        </w:rPr>
        <w:t xml:space="preserve"> 03</w:t>
      </w:r>
      <w:r w:rsidR="00537D94">
        <w:rPr>
          <w:rFonts w:asciiTheme="majorHAnsi" w:hAnsiTheme="majorHAnsi" w:cstheme="majorHAnsi"/>
          <w:sz w:val="28"/>
          <w:szCs w:val="28"/>
          <w:lang w:val="nl-NL"/>
        </w:rPr>
        <w:t xml:space="preserve"> </w:t>
      </w:r>
      <w:r w:rsidRPr="006370BA">
        <w:rPr>
          <w:rFonts w:asciiTheme="majorHAnsi" w:hAnsiTheme="majorHAnsi" w:cstheme="majorHAnsi"/>
          <w:sz w:val="28"/>
          <w:szCs w:val="28"/>
          <w:lang w:val="nl-NL"/>
        </w:rPr>
        <w:t>tài khoản giao dịch tại</w:t>
      </w:r>
      <w:r w:rsidR="00895CC6" w:rsidRPr="006370BA">
        <w:rPr>
          <w:rFonts w:asciiTheme="majorHAnsi" w:hAnsiTheme="majorHAnsi" w:cstheme="majorHAnsi"/>
          <w:sz w:val="28"/>
          <w:szCs w:val="28"/>
          <w:lang w:val="nl-NL"/>
        </w:rPr>
        <w:t xml:space="preserve"> 03</w:t>
      </w:r>
      <w:r w:rsidR="00FF06E6" w:rsidRPr="006370BA">
        <w:rPr>
          <w:rFonts w:asciiTheme="majorHAnsi" w:hAnsiTheme="majorHAnsi" w:cstheme="majorHAnsi"/>
          <w:sz w:val="28"/>
          <w:szCs w:val="28"/>
          <w:lang w:val="nl-NL"/>
        </w:rPr>
        <w:t xml:space="preserve"> chi nhánh các </w:t>
      </w:r>
      <w:r w:rsidRPr="006370BA">
        <w:rPr>
          <w:rFonts w:asciiTheme="majorHAnsi" w:hAnsiTheme="majorHAnsi" w:cstheme="majorHAnsi"/>
          <w:sz w:val="28"/>
          <w:szCs w:val="28"/>
          <w:lang w:val="nl-NL"/>
        </w:rPr>
        <w:t>ngân hàng thương mại</w:t>
      </w:r>
      <w:r w:rsidRPr="006370BA">
        <w:rPr>
          <w:rStyle w:val="FootnoteReference"/>
          <w:rFonts w:asciiTheme="majorHAnsi" w:hAnsiTheme="majorHAnsi" w:cstheme="majorHAnsi"/>
          <w:sz w:val="28"/>
          <w:szCs w:val="28"/>
          <w:lang w:val="nl-NL"/>
        </w:rPr>
        <w:footnoteReference w:id="1"/>
      </w:r>
      <w:r w:rsidRPr="006370BA">
        <w:rPr>
          <w:rFonts w:asciiTheme="majorHAnsi" w:hAnsiTheme="majorHAnsi" w:cstheme="majorHAnsi"/>
          <w:sz w:val="28"/>
          <w:szCs w:val="28"/>
          <w:lang w:val="nl-NL"/>
        </w:rPr>
        <w:t>.</w:t>
      </w:r>
    </w:p>
    <w:p w:rsidR="00FD4CEC" w:rsidRPr="006370BA" w:rsidRDefault="001F2E0E" w:rsidP="00EC73DF">
      <w:pPr>
        <w:widowControl w:val="0"/>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vi-VN"/>
        </w:rPr>
        <w:t>Nơi đăng ký kê khai và nộp thuế:</w:t>
      </w:r>
      <w:r w:rsidR="00350A2D" w:rsidRPr="00BF3E8F">
        <w:rPr>
          <w:rFonts w:asciiTheme="majorHAnsi" w:hAnsiTheme="majorHAnsi" w:cstheme="majorHAnsi"/>
          <w:sz w:val="28"/>
          <w:szCs w:val="28"/>
          <w:lang w:val="nl-NL"/>
        </w:rPr>
        <w:t xml:space="preserve"> </w:t>
      </w:r>
      <w:r w:rsidR="004F372D" w:rsidRPr="00BF3E8F">
        <w:rPr>
          <w:rFonts w:asciiTheme="majorHAnsi" w:hAnsiTheme="majorHAnsi" w:cstheme="majorHAnsi"/>
          <w:sz w:val="28"/>
          <w:szCs w:val="28"/>
          <w:lang w:val="nl-NL"/>
        </w:rPr>
        <w:t xml:space="preserve">Chi </w:t>
      </w:r>
      <w:r w:rsidR="00895CC6" w:rsidRPr="006370BA">
        <w:rPr>
          <w:rFonts w:asciiTheme="majorHAnsi" w:hAnsiTheme="majorHAnsi" w:cstheme="majorHAnsi"/>
          <w:sz w:val="28"/>
          <w:szCs w:val="28"/>
          <w:lang w:val="vi-VN"/>
        </w:rPr>
        <w:t xml:space="preserve">Cục Thuế </w:t>
      </w:r>
      <w:r w:rsidR="004F372D" w:rsidRPr="00BF3E8F">
        <w:rPr>
          <w:rFonts w:asciiTheme="majorHAnsi" w:hAnsiTheme="majorHAnsi" w:cstheme="majorHAnsi"/>
          <w:sz w:val="28"/>
          <w:szCs w:val="28"/>
          <w:lang w:val="nl-NL"/>
        </w:rPr>
        <w:t xml:space="preserve">Khu vực Thị xã Hồng Lĩnh </w:t>
      </w:r>
      <w:r w:rsidR="0013151C">
        <w:rPr>
          <w:rFonts w:asciiTheme="majorHAnsi" w:hAnsiTheme="majorHAnsi" w:cstheme="majorHAnsi"/>
          <w:sz w:val="28"/>
          <w:szCs w:val="28"/>
          <w:lang w:val="nl-NL"/>
        </w:rPr>
        <w:t>-</w:t>
      </w:r>
      <w:r w:rsidR="004F372D" w:rsidRPr="00BF3E8F">
        <w:rPr>
          <w:rFonts w:asciiTheme="majorHAnsi" w:hAnsiTheme="majorHAnsi" w:cstheme="majorHAnsi"/>
          <w:sz w:val="28"/>
          <w:szCs w:val="28"/>
          <w:lang w:val="nl-NL"/>
        </w:rPr>
        <w:t xml:space="preserve"> Can Lộc.</w:t>
      </w:r>
    </w:p>
    <w:p w:rsidR="001F2E0E" w:rsidRPr="006370BA" w:rsidRDefault="001F2E0E" w:rsidP="00EC73DF">
      <w:pPr>
        <w:widowControl w:val="0"/>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vi-VN"/>
        </w:rPr>
        <w:t xml:space="preserve">Hình thức kê khai nộp thuế GTGT: </w:t>
      </w:r>
      <w:r w:rsidR="00D2019F" w:rsidRPr="006370BA">
        <w:rPr>
          <w:rFonts w:asciiTheme="majorHAnsi" w:hAnsiTheme="majorHAnsi" w:cstheme="majorHAnsi"/>
          <w:sz w:val="28"/>
          <w:szCs w:val="28"/>
          <w:lang w:val="nl-NL"/>
        </w:rPr>
        <w:t>Theo</w:t>
      </w:r>
      <w:r w:rsidR="00895CC6" w:rsidRPr="006370BA">
        <w:rPr>
          <w:rFonts w:asciiTheme="majorHAnsi" w:hAnsiTheme="majorHAnsi" w:cstheme="majorHAnsi"/>
          <w:sz w:val="28"/>
          <w:szCs w:val="28"/>
          <w:lang w:val="nl-NL"/>
        </w:rPr>
        <w:t xml:space="preserve"> phương pháp khấu trừ hằng quý</w:t>
      </w:r>
    </w:p>
    <w:p w:rsidR="002D27EE" w:rsidRPr="00E42518" w:rsidRDefault="001F2E0E" w:rsidP="00895CC6">
      <w:pPr>
        <w:widowControl w:val="0"/>
        <w:spacing w:before="120" w:after="120"/>
        <w:ind w:firstLine="709"/>
        <w:jc w:val="both"/>
        <w:rPr>
          <w:rFonts w:asciiTheme="majorHAnsi" w:hAnsiTheme="majorHAnsi" w:cstheme="majorHAnsi"/>
          <w:sz w:val="28"/>
          <w:szCs w:val="28"/>
        </w:rPr>
      </w:pPr>
      <w:r w:rsidRPr="006370BA">
        <w:rPr>
          <w:rFonts w:asciiTheme="majorHAnsi" w:hAnsiTheme="majorHAnsi" w:cstheme="majorHAnsi"/>
          <w:sz w:val="28"/>
          <w:szCs w:val="28"/>
          <w:lang w:val="vi-VN"/>
        </w:rPr>
        <w:lastRenderedPageBreak/>
        <w:t xml:space="preserve">Hình thức hạch toán kế toán: </w:t>
      </w:r>
      <w:r w:rsidR="00895CC6" w:rsidRPr="006370BA">
        <w:rPr>
          <w:rFonts w:asciiTheme="majorHAnsi" w:hAnsiTheme="majorHAnsi" w:cstheme="majorHAnsi"/>
          <w:sz w:val="28"/>
          <w:szCs w:val="28"/>
          <w:lang w:val="vi-VN"/>
        </w:rPr>
        <w:t>Kế toán trên máy vi tính</w:t>
      </w:r>
      <w:r w:rsidR="00E42518">
        <w:rPr>
          <w:rFonts w:asciiTheme="majorHAnsi" w:hAnsiTheme="majorHAnsi" w:cstheme="majorHAnsi"/>
          <w:sz w:val="28"/>
          <w:szCs w:val="28"/>
        </w:rPr>
        <w:t>.</w:t>
      </w:r>
    </w:p>
    <w:p w:rsidR="00FE5DDF" w:rsidRPr="004645DA" w:rsidRDefault="00BA3D9F" w:rsidP="00EC73DF">
      <w:pPr>
        <w:spacing w:before="120" w:after="120"/>
        <w:ind w:firstLine="709"/>
        <w:jc w:val="both"/>
        <w:rPr>
          <w:rFonts w:asciiTheme="majorHAnsi" w:hAnsiTheme="majorHAnsi" w:cstheme="majorHAnsi"/>
          <w:b/>
          <w:bCs/>
          <w:sz w:val="26"/>
          <w:szCs w:val="28"/>
          <w:lang w:val="sv-SE"/>
        </w:rPr>
      </w:pPr>
      <w:r w:rsidRPr="004645DA">
        <w:rPr>
          <w:rFonts w:asciiTheme="majorHAnsi" w:hAnsiTheme="majorHAnsi" w:cstheme="majorHAnsi"/>
          <w:b/>
          <w:bCs/>
          <w:sz w:val="26"/>
          <w:szCs w:val="28"/>
          <w:lang w:val="sv-SE"/>
        </w:rPr>
        <w:t>I</w:t>
      </w:r>
      <w:r w:rsidR="00FE5DDF" w:rsidRPr="004645DA">
        <w:rPr>
          <w:rFonts w:asciiTheme="majorHAnsi" w:hAnsiTheme="majorHAnsi" w:cstheme="majorHAnsi"/>
          <w:b/>
          <w:bCs/>
          <w:sz w:val="26"/>
          <w:szCs w:val="28"/>
          <w:lang w:val="sv-SE"/>
        </w:rPr>
        <w:t>I. KẾT QUẢ KIỂM TRA, XÁC MINH</w:t>
      </w:r>
    </w:p>
    <w:p w:rsidR="00FE5DDF" w:rsidRPr="006370BA" w:rsidRDefault="00FE5DDF" w:rsidP="00EC73DF">
      <w:pPr>
        <w:spacing w:before="120" w:after="120"/>
        <w:ind w:firstLine="709"/>
        <w:jc w:val="both"/>
        <w:rPr>
          <w:rFonts w:asciiTheme="majorHAnsi" w:hAnsiTheme="majorHAnsi" w:cstheme="majorHAnsi"/>
          <w:b/>
          <w:bCs/>
          <w:sz w:val="28"/>
          <w:szCs w:val="28"/>
          <w:lang w:val="sv-SE"/>
        </w:rPr>
      </w:pPr>
      <w:r w:rsidRPr="006370BA">
        <w:rPr>
          <w:rFonts w:asciiTheme="majorHAnsi" w:hAnsiTheme="majorHAnsi" w:cstheme="majorHAnsi"/>
          <w:b/>
          <w:bCs/>
          <w:sz w:val="28"/>
          <w:szCs w:val="28"/>
          <w:lang w:val="sv-SE"/>
        </w:rPr>
        <w:t>1. Việc chấp hành pháp luật về doanh nghiệp</w:t>
      </w:r>
    </w:p>
    <w:p w:rsidR="004F372D" w:rsidRPr="00BF3E8F" w:rsidRDefault="00895CC6" w:rsidP="00BF3E8F">
      <w:pPr>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Công ty h</w:t>
      </w:r>
      <w:r w:rsidRPr="006370BA">
        <w:rPr>
          <w:rFonts w:asciiTheme="majorHAnsi" w:hAnsiTheme="majorHAnsi" w:cstheme="majorHAnsi"/>
          <w:sz w:val="28"/>
          <w:szCs w:val="28"/>
          <w:lang w:val="vi-VN"/>
        </w:rPr>
        <w:t xml:space="preserve">oạt động sản xuất kinh doanh theo đúng ngành nghề đăng ký; thực hiện </w:t>
      </w:r>
      <w:r w:rsidRPr="006370BA">
        <w:rPr>
          <w:rFonts w:asciiTheme="majorHAnsi" w:hAnsiTheme="majorHAnsi" w:cstheme="majorHAnsi"/>
          <w:sz w:val="28"/>
          <w:szCs w:val="28"/>
          <w:lang w:val="nl-NL"/>
        </w:rPr>
        <w:t>thông báo thay đổi nội dung</w:t>
      </w:r>
      <w:r w:rsidRPr="006370BA">
        <w:rPr>
          <w:rFonts w:asciiTheme="majorHAnsi" w:hAnsiTheme="majorHAnsi" w:cstheme="majorHAnsi"/>
          <w:sz w:val="28"/>
          <w:szCs w:val="28"/>
          <w:lang w:val="vi-VN"/>
        </w:rPr>
        <w:t xml:space="preserve"> đăng ký doanh nghiệp kịp thời khi có biến động</w:t>
      </w:r>
      <w:r w:rsidRPr="006370BA">
        <w:rPr>
          <w:rFonts w:asciiTheme="majorHAnsi" w:hAnsiTheme="majorHAnsi" w:cstheme="majorHAnsi"/>
          <w:sz w:val="28"/>
          <w:szCs w:val="28"/>
          <w:lang w:val="nl-NL"/>
        </w:rPr>
        <w:t>;</w:t>
      </w:r>
      <w:r w:rsidRPr="006370BA">
        <w:rPr>
          <w:rFonts w:asciiTheme="majorHAnsi" w:hAnsiTheme="majorHAnsi" w:cstheme="majorHAnsi"/>
          <w:sz w:val="28"/>
          <w:szCs w:val="28"/>
          <w:lang w:val="vi-VN"/>
        </w:rPr>
        <w:t xml:space="preserve"> hình thức</w:t>
      </w:r>
      <w:r w:rsidRPr="006370BA">
        <w:rPr>
          <w:rFonts w:asciiTheme="majorHAnsi" w:hAnsiTheme="majorHAnsi" w:cstheme="majorHAnsi"/>
          <w:sz w:val="28"/>
          <w:szCs w:val="28"/>
          <w:lang w:val="nl-NL"/>
        </w:rPr>
        <w:t xml:space="preserve"> hoạt động </w:t>
      </w:r>
      <w:r w:rsidRPr="006370BA">
        <w:rPr>
          <w:rFonts w:asciiTheme="majorHAnsi" w:hAnsiTheme="majorHAnsi" w:cstheme="majorHAnsi"/>
          <w:sz w:val="28"/>
          <w:szCs w:val="28"/>
          <w:lang w:val="vi-VN"/>
        </w:rPr>
        <w:t>công ty cổ phần do 0</w:t>
      </w:r>
      <w:r w:rsidR="004F372D" w:rsidRPr="00BF3E8F">
        <w:rPr>
          <w:rFonts w:asciiTheme="majorHAnsi" w:hAnsiTheme="majorHAnsi" w:cstheme="majorHAnsi"/>
          <w:sz w:val="28"/>
          <w:szCs w:val="28"/>
          <w:lang w:val="sv-SE"/>
        </w:rPr>
        <w:t>4</w:t>
      </w:r>
      <w:r w:rsidRPr="006370BA">
        <w:rPr>
          <w:rFonts w:asciiTheme="majorHAnsi" w:hAnsiTheme="majorHAnsi" w:cstheme="majorHAnsi"/>
          <w:sz w:val="28"/>
          <w:szCs w:val="28"/>
          <w:lang w:val="vi-VN"/>
        </w:rPr>
        <w:t xml:space="preserve"> cổ đông góp vốn.</w:t>
      </w:r>
      <w:r w:rsidRPr="006370BA">
        <w:rPr>
          <w:rFonts w:asciiTheme="majorHAnsi" w:hAnsiTheme="majorHAnsi" w:cstheme="majorHAnsi"/>
          <w:sz w:val="28"/>
          <w:szCs w:val="28"/>
          <w:lang w:val="nl-NL"/>
        </w:rPr>
        <w:t xml:space="preserve"> Công ty </w:t>
      </w:r>
      <w:r w:rsidRPr="006370BA">
        <w:rPr>
          <w:rFonts w:asciiTheme="majorHAnsi" w:hAnsiTheme="majorHAnsi" w:cstheme="majorHAnsi"/>
          <w:sz w:val="28"/>
          <w:szCs w:val="28"/>
          <w:lang w:val="vi-VN"/>
        </w:rPr>
        <w:t xml:space="preserve">đã </w:t>
      </w:r>
      <w:r w:rsidR="00221771">
        <w:rPr>
          <w:rFonts w:asciiTheme="majorHAnsi" w:hAnsiTheme="majorHAnsi" w:cstheme="majorHAnsi"/>
          <w:sz w:val="28"/>
          <w:szCs w:val="28"/>
          <w:lang w:val="nl-NL"/>
        </w:rPr>
        <w:t xml:space="preserve">thực hiện quy định về </w:t>
      </w:r>
      <w:r w:rsidR="00221771" w:rsidRPr="00993BBA">
        <w:rPr>
          <w:sz w:val="28"/>
          <w:szCs w:val="28"/>
          <w:lang w:val="nl-NL"/>
        </w:rPr>
        <w:t xml:space="preserve">khai </w:t>
      </w:r>
      <w:r w:rsidR="00221771" w:rsidRPr="00221771">
        <w:rPr>
          <w:sz w:val="28"/>
          <w:szCs w:val="28"/>
          <w:lang w:val="nl-NL"/>
        </w:rPr>
        <w:t>thác khoáng sản</w:t>
      </w:r>
      <w:r w:rsidR="00350A2D">
        <w:rPr>
          <w:sz w:val="28"/>
          <w:szCs w:val="28"/>
          <w:lang w:val="nl-NL"/>
        </w:rPr>
        <w:t xml:space="preserve"> </w:t>
      </w:r>
      <w:r w:rsidR="00221771">
        <w:rPr>
          <w:sz w:val="28"/>
          <w:szCs w:val="28"/>
          <w:lang w:val="nl-NL"/>
        </w:rPr>
        <w:t>(</w:t>
      </w:r>
      <w:r w:rsidR="004F372D" w:rsidRPr="00BF3E8F">
        <w:rPr>
          <w:sz w:val="28"/>
          <w:szCs w:val="28"/>
          <w:lang w:val="nl-NL"/>
        </w:rPr>
        <w:t>lắp đặt trạm cân và t</w:t>
      </w:r>
      <w:r w:rsidR="004F372D" w:rsidRPr="00BF3E8F">
        <w:rPr>
          <w:sz w:val="28"/>
          <w:szCs w:val="28"/>
          <w:lang w:val="vi-VN"/>
        </w:rPr>
        <w:t xml:space="preserve">hống kê khối lượng khoáng sản </w:t>
      </w:r>
      <w:r w:rsidR="004F372D" w:rsidRPr="00BF3E8F">
        <w:rPr>
          <w:sz w:val="28"/>
          <w:szCs w:val="28"/>
          <w:lang w:val="nl-NL"/>
        </w:rPr>
        <w:t>theo biểu mẫu quy định</w:t>
      </w:r>
      <w:r w:rsidR="00221771">
        <w:rPr>
          <w:sz w:val="28"/>
          <w:szCs w:val="28"/>
          <w:lang w:val="nl-NL"/>
        </w:rPr>
        <w:t>),</w:t>
      </w:r>
      <w:r w:rsidR="00350A2D">
        <w:rPr>
          <w:sz w:val="28"/>
          <w:szCs w:val="28"/>
          <w:lang w:val="nl-NL"/>
        </w:rPr>
        <w:t xml:space="preserve"> </w:t>
      </w:r>
      <w:r w:rsidRPr="00221771">
        <w:rPr>
          <w:rFonts w:asciiTheme="majorHAnsi" w:hAnsiTheme="majorHAnsi" w:cstheme="majorHAnsi"/>
          <w:sz w:val="28"/>
          <w:szCs w:val="28"/>
          <w:lang w:val="vi-VN"/>
        </w:rPr>
        <w:t xml:space="preserve">xây dựng </w:t>
      </w:r>
      <w:r w:rsidR="004F372D" w:rsidRPr="00BF3E8F">
        <w:rPr>
          <w:rFonts w:asciiTheme="majorHAnsi" w:hAnsiTheme="majorHAnsi" w:cstheme="majorHAnsi"/>
          <w:sz w:val="28"/>
          <w:szCs w:val="28"/>
          <w:lang w:val="nl-NL"/>
        </w:rPr>
        <w:t>v</w:t>
      </w:r>
      <w:r w:rsidR="0013151C" w:rsidRPr="00221771">
        <w:rPr>
          <w:rFonts w:asciiTheme="majorHAnsi" w:hAnsiTheme="majorHAnsi" w:cstheme="majorHAnsi"/>
          <w:sz w:val="28"/>
          <w:szCs w:val="28"/>
          <w:lang w:val="nl-NL"/>
        </w:rPr>
        <w:t>à đang</w:t>
      </w:r>
      <w:r w:rsidRPr="00221771">
        <w:rPr>
          <w:rFonts w:asciiTheme="majorHAnsi" w:hAnsiTheme="majorHAnsi" w:cstheme="majorHAnsi"/>
          <w:sz w:val="28"/>
          <w:szCs w:val="28"/>
          <w:lang w:val="nl-NL"/>
        </w:rPr>
        <w:t xml:space="preserve"> sử dụng </w:t>
      </w:r>
      <w:r w:rsidR="0013151C" w:rsidRPr="00221771">
        <w:rPr>
          <w:rFonts w:asciiTheme="majorHAnsi" w:hAnsiTheme="majorHAnsi" w:cstheme="majorHAnsi"/>
          <w:sz w:val="28"/>
          <w:szCs w:val="28"/>
          <w:lang w:val="nl-NL"/>
        </w:rPr>
        <w:t xml:space="preserve">điều lệ </w:t>
      </w:r>
      <w:r w:rsidRPr="00221771">
        <w:rPr>
          <w:rFonts w:asciiTheme="majorHAnsi" w:hAnsiTheme="majorHAnsi" w:cstheme="majorHAnsi"/>
          <w:sz w:val="28"/>
          <w:szCs w:val="28"/>
          <w:lang w:val="nl-NL"/>
        </w:rPr>
        <w:t>ban hành ngày 01/01/2015</w:t>
      </w:r>
      <w:r w:rsidR="004F372D" w:rsidRPr="00BF3E8F">
        <w:rPr>
          <w:rFonts w:asciiTheme="majorHAnsi" w:hAnsiTheme="majorHAnsi" w:cstheme="majorHAnsi"/>
          <w:sz w:val="28"/>
          <w:szCs w:val="28"/>
          <w:lang w:val="nl-NL"/>
        </w:rPr>
        <w:t>.</w:t>
      </w:r>
    </w:p>
    <w:p w:rsidR="00152646" w:rsidRPr="006370BA" w:rsidRDefault="004F372D" w:rsidP="00895CC6">
      <w:pPr>
        <w:spacing w:before="120" w:after="120"/>
        <w:ind w:firstLine="709"/>
        <w:jc w:val="both"/>
        <w:rPr>
          <w:rFonts w:asciiTheme="majorHAnsi" w:hAnsiTheme="majorHAnsi" w:cstheme="majorHAnsi"/>
          <w:sz w:val="28"/>
          <w:szCs w:val="28"/>
          <w:lang w:val="nl-NL"/>
        </w:rPr>
      </w:pPr>
      <w:r w:rsidRPr="00BF3E8F">
        <w:rPr>
          <w:rFonts w:asciiTheme="majorHAnsi" w:hAnsiTheme="majorHAnsi" w:cstheme="majorHAnsi"/>
          <w:sz w:val="28"/>
          <w:szCs w:val="28"/>
          <w:lang w:val="nl-NL"/>
        </w:rPr>
        <w:t>Q</w:t>
      </w:r>
      <w:r w:rsidR="00895CC6" w:rsidRPr="006370BA">
        <w:rPr>
          <w:rFonts w:asciiTheme="majorHAnsi" w:hAnsiTheme="majorHAnsi" w:cstheme="majorHAnsi"/>
          <w:sz w:val="28"/>
          <w:szCs w:val="28"/>
          <w:lang w:val="vi-VN"/>
        </w:rPr>
        <w:t xml:space="preserve">uá trình hoạt động Công ty chưa có biên bản thể hiện đã tổ chức đại hội đồng cổ đông thường niên, họp hội đồng quản trị hằng năm. </w:t>
      </w:r>
      <w:r w:rsidRPr="00BF3E8F">
        <w:rPr>
          <w:rFonts w:asciiTheme="majorHAnsi" w:hAnsiTheme="majorHAnsi" w:cstheme="majorHAnsi"/>
          <w:sz w:val="28"/>
          <w:szCs w:val="28"/>
          <w:lang w:val="vi-VN"/>
        </w:rPr>
        <w:t>S</w:t>
      </w:r>
      <w:r w:rsidR="00895CC6" w:rsidRPr="006370BA">
        <w:rPr>
          <w:rFonts w:asciiTheme="majorHAnsi" w:hAnsiTheme="majorHAnsi" w:cstheme="majorHAnsi"/>
          <w:sz w:val="28"/>
          <w:szCs w:val="28"/>
          <w:lang w:val="vi-VN"/>
        </w:rPr>
        <w:t xml:space="preserve">ố dư lợi nhuận sau thuế chưa phân phối </w:t>
      </w:r>
      <w:r w:rsidRPr="00BF3E8F">
        <w:rPr>
          <w:rFonts w:asciiTheme="majorHAnsi" w:hAnsiTheme="majorHAnsi" w:cstheme="majorHAnsi"/>
          <w:sz w:val="28"/>
          <w:szCs w:val="28"/>
          <w:lang w:val="vi-VN"/>
        </w:rPr>
        <w:t xml:space="preserve">từ các năm trước đến </w:t>
      </w:r>
      <w:r w:rsidR="00895CC6" w:rsidRPr="006370BA">
        <w:rPr>
          <w:rFonts w:asciiTheme="majorHAnsi" w:hAnsiTheme="majorHAnsi" w:cstheme="majorHAnsi"/>
          <w:sz w:val="28"/>
          <w:szCs w:val="28"/>
          <w:lang w:val="vi-VN"/>
        </w:rPr>
        <w:t xml:space="preserve">thời điểm 31/12/2020 là </w:t>
      </w:r>
      <w:r w:rsidRPr="00BF3E8F">
        <w:rPr>
          <w:rFonts w:asciiTheme="majorHAnsi" w:hAnsiTheme="majorHAnsi" w:cstheme="majorHAnsi"/>
          <w:sz w:val="28"/>
          <w:szCs w:val="28"/>
          <w:lang w:val="vi-VN"/>
        </w:rPr>
        <w:t>106.233.624</w:t>
      </w:r>
      <w:r w:rsidR="00895CC6" w:rsidRPr="006370BA">
        <w:rPr>
          <w:rFonts w:asciiTheme="majorHAnsi" w:hAnsiTheme="majorHAnsi" w:cstheme="majorHAnsi"/>
          <w:sz w:val="28"/>
          <w:szCs w:val="28"/>
          <w:lang w:val="vi-VN"/>
        </w:rPr>
        <w:t xml:space="preserve"> đồng</w:t>
      </w:r>
      <w:r w:rsidR="00385DA1" w:rsidRPr="006370BA">
        <w:rPr>
          <w:rFonts w:asciiTheme="majorHAnsi" w:hAnsiTheme="majorHAnsi" w:cstheme="majorHAnsi"/>
          <w:i/>
          <w:sz w:val="28"/>
          <w:szCs w:val="28"/>
          <w:lang w:val="nl-NL"/>
        </w:rPr>
        <w:t>.</w:t>
      </w:r>
    </w:p>
    <w:p w:rsidR="00FE5DDF" w:rsidRPr="006370BA" w:rsidRDefault="00FE5DDF" w:rsidP="00EC73DF">
      <w:pPr>
        <w:widowControl w:val="0"/>
        <w:spacing w:before="120" w:after="120"/>
        <w:ind w:firstLine="709"/>
        <w:jc w:val="both"/>
        <w:rPr>
          <w:rFonts w:asciiTheme="majorHAnsi" w:hAnsiTheme="majorHAnsi" w:cstheme="majorHAnsi"/>
          <w:b/>
          <w:sz w:val="28"/>
          <w:szCs w:val="28"/>
          <w:lang w:val="nl-NL"/>
        </w:rPr>
      </w:pPr>
      <w:r w:rsidRPr="006370BA">
        <w:rPr>
          <w:rFonts w:asciiTheme="majorHAnsi" w:hAnsiTheme="majorHAnsi" w:cstheme="majorHAnsi"/>
          <w:b/>
          <w:sz w:val="28"/>
          <w:szCs w:val="28"/>
          <w:lang w:val="nl-NL"/>
        </w:rPr>
        <w:t>2. Việc thực hiện</w:t>
      </w:r>
      <w:r w:rsidR="00E42518">
        <w:rPr>
          <w:rFonts w:asciiTheme="majorHAnsi" w:hAnsiTheme="majorHAnsi" w:cstheme="majorHAnsi"/>
          <w:b/>
          <w:sz w:val="28"/>
          <w:szCs w:val="28"/>
          <w:lang w:val="nl-NL"/>
        </w:rPr>
        <w:t xml:space="preserve"> </w:t>
      </w:r>
      <w:r w:rsidRPr="006370BA">
        <w:rPr>
          <w:rFonts w:asciiTheme="majorHAnsi" w:hAnsiTheme="majorHAnsi" w:cstheme="majorHAnsi"/>
          <w:b/>
          <w:sz w:val="28"/>
          <w:szCs w:val="28"/>
          <w:lang w:val="nl-NL"/>
        </w:rPr>
        <w:t>nghĩa vụ với Nhà nước</w:t>
      </w:r>
    </w:p>
    <w:p w:rsidR="00895CC6" w:rsidRPr="006370BA" w:rsidRDefault="00895CC6" w:rsidP="00EC73DF">
      <w:pPr>
        <w:widowControl w:val="0"/>
        <w:spacing w:before="120" w:after="120"/>
        <w:ind w:firstLine="709"/>
        <w:jc w:val="both"/>
        <w:rPr>
          <w:rFonts w:asciiTheme="majorHAnsi" w:hAnsiTheme="majorHAnsi" w:cstheme="majorHAnsi"/>
          <w:b/>
          <w:sz w:val="28"/>
          <w:szCs w:val="28"/>
          <w:lang w:val="nl-NL"/>
        </w:rPr>
      </w:pPr>
      <w:r w:rsidRPr="006370BA">
        <w:rPr>
          <w:rFonts w:asciiTheme="majorHAnsi" w:hAnsiTheme="majorHAnsi" w:cstheme="majorHAnsi"/>
          <w:sz w:val="28"/>
          <w:szCs w:val="28"/>
          <w:lang w:val="vi-VN"/>
        </w:rPr>
        <w:t>Năm tài chính 201</w:t>
      </w:r>
      <w:r w:rsidR="004F372D" w:rsidRPr="00BF3E8F">
        <w:rPr>
          <w:rFonts w:asciiTheme="majorHAnsi" w:hAnsiTheme="majorHAnsi" w:cstheme="majorHAnsi"/>
          <w:sz w:val="28"/>
          <w:szCs w:val="28"/>
          <w:lang w:val="nl-NL"/>
        </w:rPr>
        <w:t>9</w:t>
      </w:r>
      <w:r w:rsidRPr="006370BA">
        <w:rPr>
          <w:rFonts w:asciiTheme="majorHAnsi" w:hAnsiTheme="majorHAnsi" w:cstheme="majorHAnsi"/>
          <w:sz w:val="28"/>
          <w:szCs w:val="28"/>
          <w:lang w:val="vi-VN"/>
        </w:rPr>
        <w:t xml:space="preserve">, Công ty đã được </w:t>
      </w:r>
      <w:r w:rsidR="004F372D" w:rsidRPr="00BF3E8F">
        <w:rPr>
          <w:rFonts w:asciiTheme="majorHAnsi" w:hAnsiTheme="majorHAnsi" w:cstheme="majorHAnsi"/>
          <w:sz w:val="28"/>
          <w:szCs w:val="28"/>
          <w:lang w:val="nl-NL"/>
        </w:rPr>
        <w:t xml:space="preserve">Chi Cục thuế Khu vực thị xã Hồng Lĩnh </w:t>
      </w:r>
      <w:r w:rsidR="0013151C">
        <w:rPr>
          <w:rFonts w:asciiTheme="majorHAnsi" w:hAnsiTheme="majorHAnsi" w:cstheme="majorHAnsi"/>
          <w:sz w:val="28"/>
          <w:szCs w:val="28"/>
          <w:lang w:val="nl-NL"/>
        </w:rPr>
        <w:t>-</w:t>
      </w:r>
      <w:r w:rsidR="004F372D" w:rsidRPr="00BF3E8F">
        <w:rPr>
          <w:rFonts w:asciiTheme="majorHAnsi" w:hAnsiTheme="majorHAnsi" w:cstheme="majorHAnsi"/>
          <w:sz w:val="28"/>
          <w:szCs w:val="28"/>
          <w:lang w:val="nl-NL"/>
        </w:rPr>
        <w:t xml:space="preserve"> Can Lộc</w:t>
      </w:r>
      <w:r w:rsidRPr="006370BA">
        <w:rPr>
          <w:rFonts w:asciiTheme="majorHAnsi" w:hAnsiTheme="majorHAnsi" w:cstheme="majorHAnsi"/>
          <w:sz w:val="28"/>
          <w:szCs w:val="28"/>
          <w:lang w:val="vi-VN"/>
        </w:rPr>
        <w:t xml:space="preserve"> kiểm tra việc chấp hành pháp luật về thuế (Quyết định số</w:t>
      </w:r>
      <w:r w:rsidR="004F372D" w:rsidRPr="00BF3E8F">
        <w:rPr>
          <w:rFonts w:asciiTheme="majorHAnsi" w:hAnsiTheme="majorHAnsi" w:cstheme="majorHAnsi"/>
          <w:sz w:val="28"/>
          <w:szCs w:val="28"/>
          <w:lang w:val="nl-NL"/>
        </w:rPr>
        <w:t xml:space="preserve"> 4690</w:t>
      </w:r>
      <w:r w:rsidRPr="006370BA">
        <w:rPr>
          <w:rFonts w:asciiTheme="majorHAnsi" w:hAnsiTheme="majorHAnsi" w:cstheme="majorHAnsi"/>
          <w:sz w:val="28"/>
          <w:szCs w:val="28"/>
          <w:lang w:val="vi-VN"/>
        </w:rPr>
        <w:t>/QĐ-C</w:t>
      </w:r>
      <w:r w:rsidR="004F372D" w:rsidRPr="00BF3E8F">
        <w:rPr>
          <w:rFonts w:asciiTheme="majorHAnsi" w:hAnsiTheme="majorHAnsi" w:cstheme="majorHAnsi"/>
          <w:sz w:val="28"/>
          <w:szCs w:val="28"/>
          <w:lang w:val="nl-NL"/>
        </w:rPr>
        <w:t>CTKV</w:t>
      </w:r>
      <w:r w:rsidRPr="006370BA">
        <w:rPr>
          <w:rFonts w:asciiTheme="majorHAnsi" w:hAnsiTheme="majorHAnsi" w:cstheme="majorHAnsi"/>
          <w:sz w:val="28"/>
          <w:szCs w:val="28"/>
          <w:lang w:val="vi-VN"/>
        </w:rPr>
        <w:t xml:space="preserve"> ngày </w:t>
      </w:r>
      <w:r w:rsidR="004F372D" w:rsidRPr="00BF3E8F">
        <w:rPr>
          <w:rFonts w:asciiTheme="majorHAnsi" w:hAnsiTheme="majorHAnsi" w:cstheme="majorHAnsi"/>
          <w:sz w:val="28"/>
          <w:szCs w:val="28"/>
          <w:lang w:val="nl-NL"/>
        </w:rPr>
        <w:t>04/6/2020</w:t>
      </w:r>
      <w:r w:rsidRPr="006370BA">
        <w:rPr>
          <w:rFonts w:asciiTheme="majorHAnsi" w:hAnsiTheme="majorHAnsi" w:cstheme="majorHAnsi"/>
          <w:sz w:val="28"/>
          <w:szCs w:val="28"/>
          <w:lang w:val="vi-VN"/>
        </w:rPr>
        <w:t xml:space="preserve">). </w:t>
      </w:r>
      <w:r w:rsidR="004F372D" w:rsidRPr="00BF3E8F">
        <w:rPr>
          <w:sz w:val="28"/>
          <w:szCs w:val="28"/>
          <w:lang w:val="vi-VN"/>
        </w:rPr>
        <w:t xml:space="preserve">Kết quả kiểm tra: Chi Cục thuế truy thu, xử phạt số tiền 35.132.158 đồng. </w:t>
      </w:r>
      <w:r w:rsidRPr="006370BA">
        <w:rPr>
          <w:rFonts w:asciiTheme="majorHAnsi" w:hAnsiTheme="majorHAnsi" w:cstheme="majorHAnsi"/>
          <w:sz w:val="28"/>
          <w:szCs w:val="28"/>
          <w:lang w:val="vi-VN"/>
        </w:rPr>
        <w:t>Thực hiện Chỉ thị số 20/CT-TTg ngày 17/5/2017 của Thủ tướng Chính phủ</w:t>
      </w:r>
      <w:r w:rsidRPr="006370BA">
        <w:rPr>
          <w:rStyle w:val="FootnoteReference"/>
          <w:rFonts w:asciiTheme="majorHAnsi" w:hAnsiTheme="majorHAnsi" w:cstheme="majorHAnsi"/>
          <w:sz w:val="28"/>
          <w:szCs w:val="28"/>
        </w:rPr>
        <w:footnoteReference w:id="2"/>
      </w:r>
      <w:r w:rsidRPr="006370BA">
        <w:rPr>
          <w:rFonts w:asciiTheme="majorHAnsi" w:hAnsiTheme="majorHAnsi" w:cstheme="majorHAnsi"/>
          <w:sz w:val="28"/>
          <w:szCs w:val="28"/>
          <w:lang w:val="vi-VN"/>
        </w:rPr>
        <w:t>, Đoàn thanh tra không tiến hành thanh tra lại việc thực hiện nghĩa vụ với ngân sách Nhà nước năm 201</w:t>
      </w:r>
      <w:r w:rsidR="004F372D" w:rsidRPr="00BF3E8F">
        <w:rPr>
          <w:rFonts w:asciiTheme="majorHAnsi" w:hAnsiTheme="majorHAnsi" w:cstheme="majorHAnsi"/>
          <w:sz w:val="28"/>
          <w:szCs w:val="28"/>
          <w:lang w:val="vi-VN"/>
        </w:rPr>
        <w:t>9</w:t>
      </w:r>
      <w:r w:rsidRPr="006370BA">
        <w:rPr>
          <w:rFonts w:asciiTheme="majorHAnsi" w:hAnsiTheme="majorHAnsi" w:cstheme="majorHAnsi"/>
          <w:sz w:val="28"/>
          <w:szCs w:val="28"/>
          <w:lang w:val="vi-VN"/>
        </w:rPr>
        <w:t>.</w:t>
      </w:r>
      <w:r w:rsidR="00350A2D" w:rsidRPr="00BF3E8F">
        <w:rPr>
          <w:rFonts w:asciiTheme="majorHAnsi" w:hAnsiTheme="majorHAnsi" w:cstheme="majorHAnsi"/>
          <w:sz w:val="28"/>
          <w:szCs w:val="28"/>
          <w:lang w:val="vi-VN"/>
        </w:rPr>
        <w:t xml:space="preserve"> </w:t>
      </w:r>
      <w:r w:rsidRPr="006370BA">
        <w:rPr>
          <w:rFonts w:asciiTheme="majorHAnsi" w:hAnsiTheme="majorHAnsi" w:cstheme="majorHAnsi"/>
          <w:sz w:val="28"/>
          <w:szCs w:val="28"/>
          <w:lang w:val="nl-NL"/>
        </w:rPr>
        <w:t xml:space="preserve">Kết quả thanh tra </w:t>
      </w:r>
      <w:r w:rsidRPr="006370BA">
        <w:rPr>
          <w:rFonts w:asciiTheme="majorHAnsi" w:hAnsiTheme="majorHAnsi" w:cstheme="majorHAnsi"/>
          <w:sz w:val="28"/>
          <w:szCs w:val="28"/>
          <w:lang w:val="vi-VN"/>
        </w:rPr>
        <w:t>năm tài chính 20</w:t>
      </w:r>
      <w:r w:rsidR="004F372D" w:rsidRPr="00BF3E8F">
        <w:rPr>
          <w:rFonts w:asciiTheme="majorHAnsi" w:hAnsiTheme="majorHAnsi" w:cstheme="majorHAnsi"/>
          <w:sz w:val="28"/>
          <w:szCs w:val="28"/>
          <w:lang w:val="vi-VN"/>
        </w:rPr>
        <w:t>20</w:t>
      </w:r>
      <w:r w:rsidRPr="006370BA">
        <w:rPr>
          <w:rFonts w:asciiTheme="majorHAnsi" w:hAnsiTheme="majorHAnsi" w:cstheme="majorHAnsi"/>
          <w:sz w:val="28"/>
          <w:szCs w:val="28"/>
          <w:lang w:val="nl-NL"/>
        </w:rPr>
        <w:t>, như sau:</w:t>
      </w:r>
    </w:p>
    <w:p w:rsidR="00FE5DDF" w:rsidRPr="006370BA" w:rsidRDefault="00FE5DDF" w:rsidP="00EC73DF">
      <w:pPr>
        <w:spacing w:before="120" w:after="120"/>
        <w:ind w:firstLine="709"/>
        <w:jc w:val="both"/>
        <w:rPr>
          <w:rFonts w:asciiTheme="majorHAnsi" w:hAnsiTheme="majorHAnsi" w:cstheme="majorHAnsi"/>
          <w:b/>
          <w:i/>
          <w:sz w:val="28"/>
          <w:szCs w:val="28"/>
          <w:lang w:val="nl-NL"/>
        </w:rPr>
      </w:pPr>
      <w:r w:rsidRPr="006370BA">
        <w:rPr>
          <w:rFonts w:asciiTheme="majorHAnsi" w:hAnsiTheme="majorHAnsi" w:cstheme="majorHAnsi"/>
          <w:b/>
          <w:i/>
          <w:sz w:val="28"/>
          <w:szCs w:val="28"/>
          <w:lang w:val="nl-NL"/>
        </w:rPr>
        <w:t>2.1. Công tác tài chính, kế toán</w:t>
      </w:r>
    </w:p>
    <w:p w:rsidR="00895CC6" w:rsidRPr="006370BA" w:rsidRDefault="00895CC6" w:rsidP="00895CC6">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vi-VN"/>
        </w:rPr>
        <w:t xml:space="preserve">Công ty đã thực hiện </w:t>
      </w:r>
      <w:r w:rsidRPr="006370BA">
        <w:rPr>
          <w:rFonts w:asciiTheme="majorHAnsi" w:hAnsiTheme="majorHAnsi" w:cstheme="majorHAnsi"/>
          <w:sz w:val="28"/>
          <w:szCs w:val="28"/>
          <w:lang w:val="nl-NL"/>
        </w:rPr>
        <w:t>việc</w:t>
      </w:r>
      <w:r w:rsidRPr="006370BA">
        <w:rPr>
          <w:rFonts w:asciiTheme="majorHAnsi" w:hAnsiTheme="majorHAnsi" w:cstheme="majorHAnsi"/>
          <w:sz w:val="28"/>
          <w:szCs w:val="28"/>
          <w:lang w:val="vi-VN"/>
        </w:rPr>
        <w:t xml:space="preserve"> mở, ghi chép sổ sách kế toán, hạch toán theo dõi tình hình hoạt động sản xuất kinh doanh bằng phần mề</w:t>
      </w:r>
      <w:r w:rsidRPr="006370BA">
        <w:rPr>
          <w:rFonts w:asciiTheme="majorHAnsi" w:hAnsiTheme="majorHAnsi" w:cstheme="majorHAnsi"/>
          <w:sz w:val="28"/>
          <w:szCs w:val="28"/>
          <w:lang w:val="nl-NL"/>
        </w:rPr>
        <w:t xml:space="preserve">m </w:t>
      </w:r>
      <w:r w:rsidRPr="006370BA">
        <w:rPr>
          <w:rFonts w:asciiTheme="majorHAnsi" w:hAnsiTheme="majorHAnsi" w:cstheme="majorHAnsi"/>
          <w:sz w:val="28"/>
          <w:szCs w:val="28"/>
          <w:lang w:val="vi-VN"/>
        </w:rPr>
        <w:t>kế toán</w:t>
      </w:r>
      <w:r w:rsidRPr="006370BA">
        <w:rPr>
          <w:rFonts w:asciiTheme="majorHAnsi" w:hAnsiTheme="majorHAnsi" w:cstheme="majorHAnsi"/>
          <w:sz w:val="28"/>
          <w:szCs w:val="28"/>
          <w:lang w:val="nl-NL"/>
        </w:rPr>
        <w:t xml:space="preserve"> Hùng Cường. Chế độ kế toán áp dụng theo Thông tư số 133/2016/TT-BTC ngày 26/8/2016 của Bộ Tài chính về hướng dẫn chế độ kế toán doanh nghiệp nhỏ và vừa. Tổ chức bộ máy kế toán phù hợp quy mô, loại hình, tính chất của doanh nghiệp; c</w:t>
      </w:r>
      <w:r w:rsidRPr="006370BA">
        <w:rPr>
          <w:rFonts w:asciiTheme="majorHAnsi" w:hAnsiTheme="majorHAnsi" w:cstheme="majorHAnsi"/>
          <w:sz w:val="28"/>
          <w:szCs w:val="28"/>
          <w:lang w:val="vi-VN"/>
        </w:rPr>
        <w:t xml:space="preserve">hứng từ kế toán được sắp xếp, phân loại, bảo quản cơ bản </w:t>
      </w:r>
      <w:r w:rsidRPr="006370BA">
        <w:rPr>
          <w:rFonts w:asciiTheme="majorHAnsi" w:hAnsiTheme="majorHAnsi" w:cstheme="majorHAnsi"/>
          <w:sz w:val="28"/>
          <w:szCs w:val="28"/>
          <w:lang w:val="nl-NL"/>
        </w:rPr>
        <w:t>đầy đủ;</w:t>
      </w:r>
      <w:r w:rsidRPr="006370BA">
        <w:rPr>
          <w:rFonts w:asciiTheme="majorHAnsi" w:hAnsiTheme="majorHAnsi" w:cstheme="majorHAnsi"/>
          <w:sz w:val="28"/>
          <w:szCs w:val="28"/>
          <w:lang w:val="vi-VN"/>
        </w:rPr>
        <w:t xml:space="preserve"> báo cáo tài chính được lập đảm bảo</w:t>
      </w:r>
      <w:r w:rsidRPr="006370BA">
        <w:rPr>
          <w:rFonts w:asciiTheme="majorHAnsi" w:hAnsiTheme="majorHAnsi" w:cstheme="majorHAnsi"/>
          <w:sz w:val="28"/>
          <w:szCs w:val="28"/>
          <w:lang w:val="nl-NL"/>
        </w:rPr>
        <w:t xml:space="preserve"> thời gian và các nội dung theo</w:t>
      </w:r>
      <w:r w:rsidRPr="006370BA">
        <w:rPr>
          <w:rFonts w:asciiTheme="majorHAnsi" w:hAnsiTheme="majorHAnsi" w:cstheme="majorHAnsi"/>
          <w:sz w:val="28"/>
          <w:szCs w:val="28"/>
          <w:lang w:val="vi-VN"/>
        </w:rPr>
        <w:t xml:space="preserve"> quy định</w:t>
      </w:r>
      <w:r w:rsidRPr="006370BA">
        <w:rPr>
          <w:rFonts w:asciiTheme="majorHAnsi" w:hAnsiTheme="majorHAnsi" w:cstheme="majorHAnsi"/>
          <w:sz w:val="28"/>
          <w:szCs w:val="28"/>
          <w:lang w:val="nl-NL"/>
        </w:rPr>
        <w:t>.</w:t>
      </w:r>
    </w:p>
    <w:p w:rsidR="006370BA" w:rsidRDefault="00895CC6" w:rsidP="00895CC6">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 xml:space="preserve">Tuy nhiên, qua kiểm tra còn một số tồn tại: Chỉ tiêu </w:t>
      </w:r>
      <w:r w:rsidR="009A3564">
        <w:rPr>
          <w:rFonts w:asciiTheme="majorHAnsi" w:hAnsiTheme="majorHAnsi" w:cstheme="majorHAnsi"/>
          <w:sz w:val="28"/>
          <w:szCs w:val="28"/>
          <w:lang w:val="nl-NL"/>
        </w:rPr>
        <w:t>c</w:t>
      </w:r>
      <w:r w:rsidRPr="006370BA">
        <w:rPr>
          <w:rFonts w:asciiTheme="majorHAnsi" w:hAnsiTheme="majorHAnsi" w:cstheme="majorHAnsi"/>
          <w:sz w:val="28"/>
          <w:szCs w:val="28"/>
          <w:lang w:val="nl-NL"/>
        </w:rPr>
        <w:t>hi phí thuế TNDN trên Báo cáo kết quả kinh doanh lập chưa đúng với Tờ khai Quyết toán thuế T</w:t>
      </w:r>
      <w:r w:rsidR="002E5CCD">
        <w:rPr>
          <w:rFonts w:asciiTheme="majorHAnsi" w:hAnsiTheme="majorHAnsi" w:cstheme="majorHAnsi"/>
          <w:sz w:val="28"/>
          <w:szCs w:val="28"/>
          <w:lang w:val="nl-NL"/>
        </w:rPr>
        <w:t>N</w:t>
      </w:r>
      <w:r w:rsidRPr="006370BA">
        <w:rPr>
          <w:rFonts w:asciiTheme="majorHAnsi" w:hAnsiTheme="majorHAnsi" w:cstheme="majorHAnsi"/>
          <w:sz w:val="28"/>
          <w:szCs w:val="28"/>
          <w:lang w:val="nl-NL"/>
        </w:rPr>
        <w:t xml:space="preserve">DN; Mẫu Sổ cái các tài khoản không có Cột Tài khoản đối ứng (Doanh nghiệp được tự thiết kế biểu mẫu sổ kế toán phù hợp với đặc điểm hoạt động và yêu cầu quản lý nhưng phải đảm bảo thông tin đầy đủ); </w:t>
      </w:r>
      <w:r w:rsidR="009A3564">
        <w:rPr>
          <w:rFonts w:asciiTheme="majorHAnsi" w:hAnsiTheme="majorHAnsi" w:cstheme="majorHAnsi"/>
          <w:sz w:val="28"/>
          <w:szCs w:val="28"/>
          <w:lang w:val="nl-NL"/>
        </w:rPr>
        <w:t>k</w:t>
      </w:r>
      <w:r w:rsidRPr="006370BA">
        <w:rPr>
          <w:rFonts w:asciiTheme="majorHAnsi" w:hAnsiTheme="majorHAnsi" w:cstheme="majorHAnsi"/>
          <w:sz w:val="28"/>
          <w:szCs w:val="28"/>
          <w:lang w:val="nl-NL"/>
        </w:rPr>
        <w:t xml:space="preserve">hông hạch toán việc trích và nộp các bảo hiểm xã hội, bảo hiểm y tế, bảo hiểm thất nghiệp, kinh phí công đoàn vào TK 338; </w:t>
      </w:r>
      <w:r w:rsidR="009A3564">
        <w:rPr>
          <w:rFonts w:asciiTheme="majorHAnsi" w:hAnsiTheme="majorHAnsi" w:cstheme="majorHAnsi"/>
          <w:sz w:val="28"/>
          <w:szCs w:val="28"/>
          <w:lang w:val="nl-NL"/>
        </w:rPr>
        <w:t>s</w:t>
      </w:r>
      <w:r w:rsidRPr="006370BA">
        <w:rPr>
          <w:rFonts w:asciiTheme="majorHAnsi" w:hAnsiTheme="majorHAnsi" w:cstheme="majorHAnsi"/>
          <w:sz w:val="28"/>
          <w:szCs w:val="28"/>
          <w:lang w:val="nl-NL"/>
        </w:rPr>
        <w:t>ử dụng mẫu Phiếu thu và Phiếu chi ban hành theo Quyết định 48/2006/QĐ-BTC ngày 14/09/2006 của Bộ Tài chính về việc ban hành chế độ kế toán doanh nghiệp nhỏ và vừa (hết hiệu lực 01/01/2017 và được thay thế bằng Thông tư số 133/2016/TT-BTC ngày 26/8/2016 của Bộ Tài chính về hướng dẫn chế độ kế toán doanh nghiệp nhỏ và vừa)...</w:t>
      </w:r>
    </w:p>
    <w:p w:rsidR="00895CC6" w:rsidRPr="006370BA" w:rsidRDefault="00895CC6" w:rsidP="00895CC6">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lastRenderedPageBreak/>
        <w:t>Thời điểm 31/12/2020, Công ty có số dư trên tài khoản thặng dư cổ phần (TK4112)</w:t>
      </w:r>
      <w:r w:rsidRPr="006370BA">
        <w:rPr>
          <w:rFonts w:asciiTheme="majorHAnsi" w:hAnsiTheme="majorHAnsi" w:cstheme="majorHAnsi"/>
          <w:sz w:val="28"/>
          <w:szCs w:val="28"/>
          <w:vertAlign w:val="superscript"/>
          <w:lang w:val="nl-NL"/>
        </w:rPr>
        <w:t>(</w:t>
      </w:r>
      <w:r w:rsidRPr="006370BA">
        <w:rPr>
          <w:rStyle w:val="FootnoteReference"/>
          <w:rFonts w:asciiTheme="majorHAnsi" w:hAnsiTheme="majorHAnsi" w:cstheme="majorHAnsi"/>
          <w:sz w:val="28"/>
          <w:szCs w:val="28"/>
          <w:lang w:val="nl-NL"/>
        </w:rPr>
        <w:footnoteReference w:id="3"/>
      </w:r>
      <w:r w:rsidRPr="006370BA">
        <w:rPr>
          <w:rFonts w:asciiTheme="majorHAnsi" w:hAnsiTheme="majorHAnsi" w:cstheme="majorHAnsi"/>
          <w:sz w:val="28"/>
          <w:szCs w:val="28"/>
          <w:vertAlign w:val="superscript"/>
          <w:lang w:val="nl-NL"/>
        </w:rPr>
        <w:t xml:space="preserve">) </w:t>
      </w:r>
      <w:r w:rsidRPr="006370BA">
        <w:rPr>
          <w:rFonts w:asciiTheme="majorHAnsi" w:hAnsiTheme="majorHAnsi" w:cstheme="majorHAnsi"/>
          <w:sz w:val="28"/>
          <w:szCs w:val="28"/>
          <w:lang w:val="nl-NL"/>
        </w:rPr>
        <w:t>345.023.216 đồng là không đúng chế độ kế toán do Công ty không có chênh lệch giữa giá phát hành và mệnh giá cổ phiếu nên không phát sinh số dư tài khoản này. Theo Công ty báo cáo do các năm trước chưa xử lý lợi nhuận sau thuế nên hạch toán số lợi nhuận sau thuế sang tài khoản thặng dư cổ phần.</w:t>
      </w:r>
    </w:p>
    <w:p w:rsidR="00FF06E6" w:rsidRPr="006370BA" w:rsidRDefault="00895CC6" w:rsidP="00895CC6">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Theo Thông tư số 133/2016/TT-BTC ngày 26/8/2016 của Bộ Tài chính về hướng dẫn chế độ kế toán doanh nghiệp nhỏ và vừa, số tiền ký quỹ tại các tổ chức khác phải hạch toán vào tài khoản phải thu khác (TK138). Nhưng Công ty đang hạch toán, kết chuyển tiền ký quỹ phục hồi môi trường vào tài khoản chi phí trong năm (TK 154) số tiền 1.037.149.547 đồng.</w:t>
      </w:r>
    </w:p>
    <w:p w:rsidR="00FE5DDF" w:rsidRPr="006370BA" w:rsidRDefault="00FE5DDF">
      <w:pPr>
        <w:spacing w:before="60" w:after="60"/>
        <w:ind w:firstLine="709"/>
        <w:jc w:val="both"/>
        <w:rPr>
          <w:rFonts w:asciiTheme="majorHAnsi" w:hAnsiTheme="majorHAnsi" w:cstheme="majorHAnsi"/>
          <w:b/>
          <w:i/>
          <w:sz w:val="28"/>
          <w:szCs w:val="28"/>
          <w:lang w:val="nl-NL"/>
        </w:rPr>
      </w:pPr>
      <w:r w:rsidRPr="006370BA">
        <w:rPr>
          <w:rFonts w:asciiTheme="majorHAnsi" w:hAnsiTheme="majorHAnsi" w:cstheme="majorHAnsi"/>
          <w:b/>
          <w:i/>
          <w:sz w:val="28"/>
          <w:szCs w:val="28"/>
          <w:lang w:val="nl-NL"/>
        </w:rPr>
        <w:t>2.2. Thực hiện nghĩa vụ</w:t>
      </w:r>
      <w:r w:rsidR="00350A2D">
        <w:rPr>
          <w:rFonts w:asciiTheme="majorHAnsi" w:hAnsiTheme="majorHAnsi" w:cstheme="majorHAnsi"/>
          <w:b/>
          <w:i/>
          <w:sz w:val="28"/>
          <w:szCs w:val="28"/>
          <w:lang w:val="nl-NL"/>
        </w:rPr>
        <w:t xml:space="preserve"> </w:t>
      </w:r>
      <w:r w:rsidRPr="006370BA">
        <w:rPr>
          <w:rFonts w:asciiTheme="majorHAnsi" w:hAnsiTheme="majorHAnsi" w:cstheme="majorHAnsi"/>
          <w:b/>
          <w:i/>
          <w:sz w:val="28"/>
          <w:szCs w:val="28"/>
          <w:lang w:val="nl-NL"/>
        </w:rPr>
        <w:t xml:space="preserve">đối với </w:t>
      </w:r>
      <w:r w:rsidR="0010552E" w:rsidRPr="006370BA">
        <w:rPr>
          <w:rFonts w:asciiTheme="majorHAnsi" w:hAnsiTheme="majorHAnsi" w:cstheme="majorHAnsi"/>
          <w:b/>
          <w:i/>
          <w:sz w:val="28"/>
          <w:szCs w:val="28"/>
          <w:lang w:val="nl-NL"/>
        </w:rPr>
        <w:t>Nhà nước</w:t>
      </w:r>
    </w:p>
    <w:p w:rsidR="00FE5DDF" w:rsidRPr="006370BA" w:rsidRDefault="0059230F">
      <w:pPr>
        <w:spacing w:before="60" w:after="6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Kết quả hoạt động SXKD năm 2020</w:t>
      </w:r>
      <w:r w:rsidR="00FE5DDF" w:rsidRPr="006370BA">
        <w:rPr>
          <w:rFonts w:asciiTheme="majorHAnsi" w:hAnsiTheme="majorHAnsi" w:cstheme="majorHAnsi"/>
          <w:sz w:val="28"/>
          <w:szCs w:val="28"/>
          <w:lang w:val="nl-NL"/>
        </w:rPr>
        <w:t xml:space="preserve"> theo Báo cáo tài chính:</w:t>
      </w:r>
    </w:p>
    <w:p w:rsidR="00FE5DDF" w:rsidRPr="006370BA" w:rsidRDefault="00350A2D" w:rsidP="00FE5DDF">
      <w:pPr>
        <w:spacing w:after="100"/>
        <w:ind w:left="6480" w:firstLine="720"/>
        <w:jc w:val="both"/>
        <w:rPr>
          <w:rFonts w:asciiTheme="majorHAnsi" w:hAnsiTheme="majorHAnsi" w:cstheme="majorHAnsi"/>
          <w:i/>
          <w:sz w:val="26"/>
          <w:szCs w:val="26"/>
          <w:lang w:val="nl-NL"/>
        </w:rPr>
      </w:pPr>
      <w:r>
        <w:rPr>
          <w:rFonts w:asciiTheme="majorHAnsi" w:hAnsiTheme="majorHAnsi" w:cstheme="majorHAnsi"/>
          <w:i/>
          <w:sz w:val="26"/>
          <w:szCs w:val="26"/>
          <w:lang w:val="nl-NL"/>
        </w:rPr>
        <w:t xml:space="preserve">    </w:t>
      </w:r>
      <w:r w:rsidR="00FE5DDF" w:rsidRPr="006370BA">
        <w:rPr>
          <w:rFonts w:asciiTheme="majorHAnsi" w:hAnsiTheme="majorHAnsi" w:cstheme="majorHAnsi"/>
          <w:i/>
          <w:sz w:val="26"/>
          <w:szCs w:val="26"/>
          <w:lang w:val="nl-NL"/>
        </w:rPr>
        <w:t>(ĐVT:Đồng)</w:t>
      </w:r>
    </w:p>
    <w:tbl>
      <w:tblPr>
        <w:tblW w:w="8900" w:type="dxa"/>
        <w:jc w:val="right"/>
        <w:tblInd w:w="93" w:type="dxa"/>
        <w:tblLook w:val="04A0" w:firstRow="1" w:lastRow="0" w:firstColumn="1" w:lastColumn="0" w:noHBand="0" w:noVBand="1"/>
      </w:tblPr>
      <w:tblGrid>
        <w:gridCol w:w="724"/>
        <w:gridCol w:w="5839"/>
        <w:gridCol w:w="2337"/>
      </w:tblGrid>
      <w:tr w:rsidR="005204D7" w:rsidRPr="006370BA" w:rsidTr="00C45C04">
        <w:trPr>
          <w:trHeight w:val="330"/>
          <w:jc w:val="righ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b/>
                <w:bCs/>
                <w:color w:val="000000"/>
                <w:sz w:val="26"/>
                <w:szCs w:val="26"/>
              </w:rPr>
            </w:pPr>
            <w:r w:rsidRPr="006370BA">
              <w:rPr>
                <w:rFonts w:asciiTheme="majorHAnsi" w:hAnsiTheme="majorHAnsi" w:cstheme="majorHAnsi"/>
                <w:b/>
                <w:bCs/>
                <w:color w:val="000000"/>
                <w:sz w:val="26"/>
                <w:szCs w:val="26"/>
              </w:rPr>
              <w:t>TT</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b/>
                <w:bCs/>
                <w:color w:val="000000"/>
                <w:sz w:val="26"/>
                <w:szCs w:val="26"/>
              </w:rPr>
            </w:pPr>
            <w:r w:rsidRPr="006370BA">
              <w:rPr>
                <w:rFonts w:asciiTheme="majorHAnsi" w:hAnsiTheme="majorHAnsi" w:cstheme="majorHAnsi"/>
                <w:b/>
                <w:bCs/>
                <w:color w:val="000000"/>
                <w:sz w:val="26"/>
                <w:szCs w:val="26"/>
              </w:rPr>
              <w:t>Chỉ tiêu</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b/>
                <w:bCs/>
                <w:color w:val="000000"/>
                <w:sz w:val="26"/>
                <w:szCs w:val="26"/>
              </w:rPr>
            </w:pPr>
            <w:r w:rsidRPr="006370BA">
              <w:rPr>
                <w:rFonts w:asciiTheme="majorHAnsi" w:hAnsiTheme="majorHAnsi" w:cstheme="majorHAnsi"/>
                <w:b/>
                <w:bCs/>
                <w:color w:val="000000"/>
                <w:sz w:val="26"/>
                <w:szCs w:val="26"/>
              </w:rPr>
              <w:t xml:space="preserve"> Năm 2020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1</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Doanh thu bán hàng và cung cấp DV</w:t>
            </w:r>
          </w:p>
        </w:tc>
        <w:tc>
          <w:tcPr>
            <w:tcW w:w="2337" w:type="dxa"/>
            <w:tcBorders>
              <w:top w:val="nil"/>
              <w:left w:val="nil"/>
              <w:bottom w:val="single" w:sz="4" w:space="0" w:color="auto"/>
              <w:right w:val="single" w:sz="4" w:space="0" w:color="auto"/>
            </w:tcBorders>
            <w:shd w:val="clear" w:color="auto" w:fill="auto"/>
            <w:noWrap/>
            <w:vAlign w:val="bottom"/>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36.713.039.334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2</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Các khoản giảm trừ doanh thu</w:t>
            </w:r>
          </w:p>
        </w:tc>
        <w:tc>
          <w:tcPr>
            <w:tcW w:w="2337"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3</w:t>
            </w:r>
          </w:p>
        </w:tc>
        <w:tc>
          <w:tcPr>
            <w:tcW w:w="5839" w:type="dxa"/>
            <w:tcBorders>
              <w:top w:val="nil"/>
              <w:left w:val="nil"/>
              <w:bottom w:val="single" w:sz="4" w:space="0" w:color="auto"/>
              <w:right w:val="single" w:sz="4" w:space="0" w:color="auto"/>
            </w:tcBorders>
            <w:shd w:val="clear" w:color="auto" w:fill="auto"/>
            <w:noWrap/>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Doanh thu thuần về bán hàng và cung cấp DV</w:t>
            </w:r>
          </w:p>
        </w:tc>
        <w:tc>
          <w:tcPr>
            <w:tcW w:w="2337" w:type="dxa"/>
            <w:tcBorders>
              <w:top w:val="nil"/>
              <w:left w:val="nil"/>
              <w:bottom w:val="single" w:sz="4" w:space="0" w:color="auto"/>
              <w:right w:val="single" w:sz="4" w:space="0" w:color="auto"/>
            </w:tcBorders>
            <w:shd w:val="clear" w:color="000000" w:fill="FFFFFF"/>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36.713.039.334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4</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Giá vốn hàng bán</w:t>
            </w:r>
          </w:p>
        </w:tc>
        <w:tc>
          <w:tcPr>
            <w:tcW w:w="2337" w:type="dxa"/>
            <w:tcBorders>
              <w:top w:val="nil"/>
              <w:left w:val="nil"/>
              <w:bottom w:val="single" w:sz="4" w:space="0" w:color="auto"/>
              <w:right w:val="single" w:sz="4" w:space="0" w:color="auto"/>
            </w:tcBorders>
            <w:shd w:val="clear" w:color="auto" w:fill="auto"/>
            <w:noWrap/>
            <w:vAlign w:val="bottom"/>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34.213.516.082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5</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Lợi nhuận gộp về bán hàng và cung cấp DV</w:t>
            </w:r>
          </w:p>
        </w:tc>
        <w:tc>
          <w:tcPr>
            <w:tcW w:w="2337"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2.499.523.252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6</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Doanh thu hoạt động tài chính</w:t>
            </w:r>
          </w:p>
        </w:tc>
        <w:tc>
          <w:tcPr>
            <w:tcW w:w="2337" w:type="dxa"/>
            <w:tcBorders>
              <w:top w:val="nil"/>
              <w:left w:val="nil"/>
              <w:bottom w:val="single" w:sz="4" w:space="0" w:color="auto"/>
              <w:right w:val="single" w:sz="4" w:space="0" w:color="auto"/>
            </w:tcBorders>
            <w:shd w:val="clear" w:color="auto" w:fill="auto"/>
            <w:noWrap/>
            <w:vAlign w:val="bottom"/>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1.836.663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7</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Chi phí tài chính</w:t>
            </w:r>
          </w:p>
        </w:tc>
        <w:tc>
          <w:tcPr>
            <w:tcW w:w="2337"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211.121.654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8</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Chi phí quản lý kinh doanh</w:t>
            </w:r>
          </w:p>
        </w:tc>
        <w:tc>
          <w:tcPr>
            <w:tcW w:w="2337" w:type="dxa"/>
            <w:tcBorders>
              <w:top w:val="nil"/>
              <w:left w:val="nil"/>
              <w:bottom w:val="single" w:sz="4" w:space="0" w:color="auto"/>
              <w:right w:val="single" w:sz="4" w:space="0" w:color="auto"/>
            </w:tcBorders>
            <w:shd w:val="clear" w:color="auto" w:fill="auto"/>
            <w:noWrap/>
            <w:vAlign w:val="bottom"/>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2.154.706.477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9</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Lợi nhuận từ hoạt động kinh doanh</w:t>
            </w:r>
          </w:p>
        </w:tc>
        <w:tc>
          <w:tcPr>
            <w:tcW w:w="2337"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135.531.784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10</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Thu nhập khác</w:t>
            </w:r>
          </w:p>
        </w:tc>
        <w:tc>
          <w:tcPr>
            <w:tcW w:w="2337" w:type="dxa"/>
            <w:tcBorders>
              <w:top w:val="nil"/>
              <w:left w:val="nil"/>
              <w:bottom w:val="single" w:sz="4" w:space="0" w:color="auto"/>
              <w:right w:val="single" w:sz="4" w:space="0" w:color="auto"/>
            </w:tcBorders>
            <w:shd w:val="clear" w:color="auto" w:fill="auto"/>
            <w:noWrap/>
            <w:vAlign w:val="bottom"/>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50.000.000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11</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Chi phí khác</w:t>
            </w:r>
          </w:p>
        </w:tc>
        <w:tc>
          <w:tcPr>
            <w:tcW w:w="2337" w:type="dxa"/>
            <w:tcBorders>
              <w:top w:val="nil"/>
              <w:left w:val="nil"/>
              <w:bottom w:val="single" w:sz="4" w:space="0" w:color="auto"/>
              <w:right w:val="single" w:sz="4" w:space="0" w:color="auto"/>
            </w:tcBorders>
            <w:shd w:val="clear" w:color="auto" w:fill="auto"/>
            <w:noWrap/>
            <w:vAlign w:val="bottom"/>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87.811.627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12</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Lợi nhuận khác</w:t>
            </w:r>
          </w:p>
        </w:tc>
        <w:tc>
          <w:tcPr>
            <w:tcW w:w="2337"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(37.811.627)</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13</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Tổng lợi nhuận kế toán trước thuế TNDN</w:t>
            </w:r>
          </w:p>
        </w:tc>
        <w:tc>
          <w:tcPr>
            <w:tcW w:w="2337"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97.720.157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14</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Chi phí thuế TNDN </w:t>
            </w:r>
          </w:p>
        </w:tc>
        <w:tc>
          <w:tcPr>
            <w:tcW w:w="2337" w:type="dxa"/>
            <w:tcBorders>
              <w:top w:val="nil"/>
              <w:left w:val="nil"/>
              <w:bottom w:val="single" w:sz="4" w:space="0" w:color="auto"/>
              <w:right w:val="single" w:sz="4" w:space="0" w:color="auto"/>
            </w:tcBorders>
            <w:shd w:val="clear" w:color="auto" w:fill="auto"/>
            <w:noWrap/>
            <w:vAlign w:val="bottom"/>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13.680.822 </w:t>
            </w:r>
          </w:p>
        </w:tc>
      </w:tr>
      <w:tr w:rsidR="005204D7" w:rsidRPr="006370BA" w:rsidTr="00C45C04">
        <w:trPr>
          <w:trHeight w:val="330"/>
          <w:jc w:val="right"/>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204D7" w:rsidRPr="006370BA" w:rsidRDefault="005204D7" w:rsidP="00C45C04">
            <w:pPr>
              <w:jc w:val="center"/>
              <w:rPr>
                <w:rFonts w:asciiTheme="majorHAnsi" w:hAnsiTheme="majorHAnsi" w:cstheme="majorHAnsi"/>
                <w:color w:val="000000"/>
                <w:sz w:val="26"/>
                <w:szCs w:val="26"/>
              </w:rPr>
            </w:pPr>
            <w:r w:rsidRPr="006370BA">
              <w:rPr>
                <w:rFonts w:asciiTheme="majorHAnsi" w:hAnsiTheme="majorHAnsi" w:cstheme="majorHAnsi"/>
                <w:color w:val="000000"/>
                <w:sz w:val="26"/>
                <w:szCs w:val="26"/>
              </w:rPr>
              <w:t>15</w:t>
            </w:r>
          </w:p>
        </w:tc>
        <w:tc>
          <w:tcPr>
            <w:tcW w:w="5839"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rPr>
                <w:rFonts w:asciiTheme="majorHAnsi" w:hAnsiTheme="majorHAnsi" w:cstheme="majorHAnsi"/>
                <w:color w:val="000000"/>
                <w:sz w:val="26"/>
                <w:szCs w:val="26"/>
              </w:rPr>
            </w:pPr>
            <w:r w:rsidRPr="006370BA">
              <w:rPr>
                <w:rFonts w:asciiTheme="majorHAnsi" w:hAnsiTheme="majorHAnsi" w:cstheme="majorHAnsi"/>
                <w:color w:val="000000"/>
                <w:sz w:val="26"/>
                <w:szCs w:val="26"/>
              </w:rPr>
              <w:t>Tổng thu nhập sau thuế</w:t>
            </w:r>
          </w:p>
        </w:tc>
        <w:tc>
          <w:tcPr>
            <w:tcW w:w="2337" w:type="dxa"/>
            <w:tcBorders>
              <w:top w:val="nil"/>
              <w:left w:val="nil"/>
              <w:bottom w:val="single" w:sz="4" w:space="0" w:color="auto"/>
              <w:right w:val="single" w:sz="4" w:space="0" w:color="auto"/>
            </w:tcBorders>
            <w:shd w:val="clear" w:color="auto" w:fill="auto"/>
            <w:vAlign w:val="center"/>
            <w:hideMark/>
          </w:tcPr>
          <w:p w:rsidR="005204D7" w:rsidRPr="006370BA" w:rsidRDefault="005204D7" w:rsidP="00C45C04">
            <w:pPr>
              <w:jc w:val="right"/>
              <w:rPr>
                <w:rFonts w:asciiTheme="majorHAnsi" w:hAnsiTheme="majorHAnsi" w:cstheme="majorHAnsi"/>
                <w:color w:val="000000"/>
                <w:sz w:val="26"/>
                <w:szCs w:val="26"/>
              </w:rPr>
            </w:pPr>
            <w:r w:rsidRPr="006370BA">
              <w:rPr>
                <w:rFonts w:asciiTheme="majorHAnsi" w:hAnsiTheme="majorHAnsi" w:cstheme="majorHAnsi"/>
                <w:color w:val="000000"/>
                <w:sz w:val="26"/>
                <w:szCs w:val="26"/>
              </w:rPr>
              <w:t xml:space="preserve">            84.039.335 </w:t>
            </w:r>
          </w:p>
        </w:tc>
      </w:tr>
    </w:tbl>
    <w:p w:rsidR="0059230F" w:rsidRPr="006370BA" w:rsidRDefault="0059230F" w:rsidP="00FE5DDF">
      <w:pPr>
        <w:spacing w:after="100"/>
        <w:ind w:left="6480" w:firstLine="720"/>
        <w:jc w:val="both"/>
        <w:rPr>
          <w:rFonts w:asciiTheme="majorHAnsi" w:hAnsiTheme="majorHAnsi" w:cstheme="majorHAnsi"/>
          <w:i/>
          <w:lang w:val="nl-NL"/>
        </w:rPr>
      </w:pPr>
    </w:p>
    <w:p w:rsidR="005204D7" w:rsidRPr="00BF3E8F" w:rsidRDefault="005204D7" w:rsidP="005204D7">
      <w:pPr>
        <w:spacing w:before="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vi-VN"/>
        </w:rPr>
        <w:t xml:space="preserve">* Tình hình thực hiện nghĩa vụ với </w:t>
      </w:r>
      <w:r w:rsidR="004F372D" w:rsidRPr="00BF3E8F">
        <w:rPr>
          <w:rFonts w:asciiTheme="majorHAnsi" w:hAnsiTheme="majorHAnsi" w:cstheme="majorHAnsi"/>
          <w:sz w:val="28"/>
          <w:szCs w:val="28"/>
          <w:lang w:val="nl-NL"/>
        </w:rPr>
        <w:t>N</w:t>
      </w:r>
      <w:r w:rsidRPr="006370BA">
        <w:rPr>
          <w:rFonts w:asciiTheme="majorHAnsi" w:hAnsiTheme="majorHAnsi" w:cstheme="majorHAnsi"/>
          <w:sz w:val="28"/>
          <w:szCs w:val="28"/>
          <w:lang w:val="vi-VN"/>
        </w:rPr>
        <w:t>hà nước năm</w:t>
      </w:r>
      <w:r w:rsidRPr="006370BA">
        <w:rPr>
          <w:rFonts w:asciiTheme="majorHAnsi" w:hAnsiTheme="majorHAnsi" w:cstheme="majorHAnsi"/>
          <w:sz w:val="28"/>
          <w:szCs w:val="28"/>
          <w:lang w:val="nl-NL"/>
        </w:rPr>
        <w:t xml:space="preserve"> 2020</w:t>
      </w:r>
      <w:r w:rsidRPr="006370BA">
        <w:rPr>
          <w:rFonts w:asciiTheme="majorHAnsi" w:hAnsiTheme="majorHAnsi" w:cstheme="majorHAnsi"/>
          <w:sz w:val="28"/>
          <w:szCs w:val="28"/>
          <w:lang w:val="vi-VN"/>
        </w:rPr>
        <w:t>:</w:t>
      </w:r>
    </w:p>
    <w:p w:rsidR="005204D7" w:rsidRPr="006370BA" w:rsidRDefault="005204D7" w:rsidP="005204D7">
      <w:pPr>
        <w:ind w:firstLine="567"/>
        <w:jc w:val="right"/>
        <w:rPr>
          <w:rFonts w:asciiTheme="majorHAnsi" w:hAnsiTheme="majorHAnsi" w:cstheme="majorHAnsi"/>
          <w:b/>
          <w:lang w:val="nl-NL"/>
        </w:rPr>
      </w:pPr>
      <w:r w:rsidRPr="006370BA">
        <w:rPr>
          <w:rFonts w:asciiTheme="majorHAnsi" w:hAnsiTheme="majorHAnsi" w:cstheme="majorHAnsi"/>
          <w:i/>
        </w:rPr>
        <w:t>(ĐVT: Đồng)</w:t>
      </w:r>
      <w:r w:rsidRPr="006370BA">
        <w:rPr>
          <w:rFonts w:asciiTheme="majorHAnsi" w:hAnsiTheme="majorHAnsi" w:cstheme="majorHAnsi"/>
          <w:b/>
          <w:lang w:val="nl-NL"/>
        </w:rPr>
        <w:tab/>
      </w:r>
    </w:p>
    <w:tbl>
      <w:tblPr>
        <w:tblW w:w="8897"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
        <w:gridCol w:w="1839"/>
        <w:gridCol w:w="1638"/>
        <w:gridCol w:w="1623"/>
        <w:gridCol w:w="1701"/>
        <w:gridCol w:w="1559"/>
      </w:tblGrid>
      <w:tr w:rsidR="00137317" w:rsidRPr="00D67785" w:rsidTr="00C45C04">
        <w:trPr>
          <w:trHeight w:val="330"/>
          <w:jc w:val="right"/>
        </w:trPr>
        <w:tc>
          <w:tcPr>
            <w:tcW w:w="537" w:type="dxa"/>
            <w:vMerge w:val="restart"/>
            <w:vAlign w:val="center"/>
            <w:hideMark/>
          </w:tcPr>
          <w:p w:rsidR="00137317" w:rsidRPr="00D67785" w:rsidRDefault="00137317" w:rsidP="00C45C04">
            <w:pPr>
              <w:jc w:val="center"/>
              <w:rPr>
                <w:b/>
                <w:bCs/>
                <w:color w:val="000000"/>
              </w:rPr>
            </w:pPr>
            <w:r w:rsidRPr="00D67785">
              <w:rPr>
                <w:b/>
                <w:bCs/>
                <w:color w:val="000000"/>
              </w:rPr>
              <w:t>TT</w:t>
            </w:r>
          </w:p>
        </w:tc>
        <w:tc>
          <w:tcPr>
            <w:tcW w:w="1839" w:type="dxa"/>
            <w:vMerge w:val="restart"/>
            <w:vAlign w:val="center"/>
            <w:hideMark/>
          </w:tcPr>
          <w:p w:rsidR="00137317" w:rsidRPr="00D67785" w:rsidRDefault="00137317" w:rsidP="00C45C04">
            <w:pPr>
              <w:jc w:val="center"/>
              <w:rPr>
                <w:b/>
                <w:bCs/>
                <w:color w:val="000000"/>
              </w:rPr>
            </w:pPr>
            <w:r w:rsidRPr="00D67785">
              <w:rPr>
                <w:b/>
                <w:bCs/>
                <w:color w:val="000000"/>
              </w:rPr>
              <w:t>Chỉ tiêu</w:t>
            </w:r>
          </w:p>
        </w:tc>
        <w:tc>
          <w:tcPr>
            <w:tcW w:w="1638" w:type="dxa"/>
            <w:vMerge w:val="restart"/>
            <w:vAlign w:val="center"/>
            <w:hideMark/>
          </w:tcPr>
          <w:p w:rsidR="00137317" w:rsidRPr="00D67785" w:rsidRDefault="00137317" w:rsidP="00C45C04">
            <w:pPr>
              <w:jc w:val="center"/>
              <w:rPr>
                <w:b/>
                <w:bCs/>
                <w:color w:val="000000"/>
              </w:rPr>
            </w:pPr>
            <w:r w:rsidRPr="00D67785">
              <w:rPr>
                <w:b/>
                <w:bCs/>
                <w:color w:val="000000"/>
              </w:rPr>
              <w:t xml:space="preserve"> Số còn phải nộp đầu năm </w:t>
            </w:r>
          </w:p>
        </w:tc>
        <w:tc>
          <w:tcPr>
            <w:tcW w:w="3324" w:type="dxa"/>
            <w:gridSpan w:val="2"/>
            <w:vAlign w:val="center"/>
            <w:hideMark/>
          </w:tcPr>
          <w:p w:rsidR="00137317" w:rsidRPr="00D67785" w:rsidRDefault="00137317" w:rsidP="00C45C04">
            <w:pPr>
              <w:jc w:val="center"/>
              <w:rPr>
                <w:b/>
                <w:bCs/>
                <w:color w:val="000000"/>
              </w:rPr>
            </w:pPr>
            <w:r w:rsidRPr="00D67785">
              <w:rPr>
                <w:b/>
                <w:bCs/>
                <w:color w:val="000000"/>
              </w:rPr>
              <w:t xml:space="preserve"> Lũy kế từ đầu năm </w:t>
            </w:r>
          </w:p>
        </w:tc>
        <w:tc>
          <w:tcPr>
            <w:tcW w:w="1559" w:type="dxa"/>
            <w:vMerge w:val="restart"/>
            <w:vAlign w:val="center"/>
            <w:hideMark/>
          </w:tcPr>
          <w:p w:rsidR="00137317" w:rsidRPr="00D67785" w:rsidRDefault="00137317" w:rsidP="00C45C04">
            <w:pPr>
              <w:jc w:val="center"/>
              <w:rPr>
                <w:b/>
                <w:bCs/>
                <w:color w:val="000000"/>
              </w:rPr>
            </w:pPr>
            <w:r w:rsidRPr="00D67785">
              <w:rPr>
                <w:b/>
                <w:bCs/>
                <w:color w:val="000000"/>
              </w:rPr>
              <w:t xml:space="preserve"> Số còn phải nộp cuối kỳ </w:t>
            </w:r>
          </w:p>
        </w:tc>
      </w:tr>
      <w:tr w:rsidR="00137317" w:rsidRPr="00D67785" w:rsidTr="00C45C04">
        <w:trPr>
          <w:trHeight w:val="330"/>
          <w:jc w:val="right"/>
        </w:trPr>
        <w:tc>
          <w:tcPr>
            <w:tcW w:w="0" w:type="auto"/>
            <w:vMerge/>
            <w:vAlign w:val="center"/>
            <w:hideMark/>
          </w:tcPr>
          <w:p w:rsidR="00137317" w:rsidRPr="00D67785" w:rsidRDefault="00137317" w:rsidP="00C45C04">
            <w:pPr>
              <w:rPr>
                <w:b/>
                <w:bCs/>
                <w:color w:val="000000"/>
              </w:rPr>
            </w:pPr>
          </w:p>
        </w:tc>
        <w:tc>
          <w:tcPr>
            <w:tcW w:w="1839" w:type="dxa"/>
            <w:vMerge/>
            <w:vAlign w:val="center"/>
            <w:hideMark/>
          </w:tcPr>
          <w:p w:rsidR="00137317" w:rsidRPr="00D67785" w:rsidRDefault="00137317" w:rsidP="00C45C04">
            <w:pPr>
              <w:rPr>
                <w:b/>
                <w:bCs/>
                <w:color w:val="000000"/>
              </w:rPr>
            </w:pPr>
          </w:p>
        </w:tc>
        <w:tc>
          <w:tcPr>
            <w:tcW w:w="1638" w:type="dxa"/>
            <w:vMerge/>
            <w:vAlign w:val="center"/>
            <w:hideMark/>
          </w:tcPr>
          <w:p w:rsidR="00137317" w:rsidRPr="00D67785" w:rsidRDefault="00137317" w:rsidP="00C45C04">
            <w:pPr>
              <w:rPr>
                <w:b/>
                <w:bCs/>
                <w:color w:val="000000"/>
              </w:rPr>
            </w:pPr>
          </w:p>
        </w:tc>
        <w:tc>
          <w:tcPr>
            <w:tcW w:w="1623" w:type="dxa"/>
            <w:vAlign w:val="center"/>
            <w:hideMark/>
          </w:tcPr>
          <w:p w:rsidR="00137317" w:rsidRPr="00D67785" w:rsidRDefault="00137317" w:rsidP="00C45C04">
            <w:pPr>
              <w:jc w:val="center"/>
              <w:rPr>
                <w:b/>
                <w:bCs/>
                <w:color w:val="000000"/>
              </w:rPr>
            </w:pPr>
            <w:r w:rsidRPr="00D67785">
              <w:rPr>
                <w:b/>
                <w:bCs/>
                <w:color w:val="000000"/>
              </w:rPr>
              <w:t xml:space="preserve"> Số phải nộp </w:t>
            </w:r>
          </w:p>
        </w:tc>
        <w:tc>
          <w:tcPr>
            <w:tcW w:w="1701" w:type="dxa"/>
            <w:vAlign w:val="center"/>
            <w:hideMark/>
          </w:tcPr>
          <w:p w:rsidR="00137317" w:rsidRPr="00D67785" w:rsidRDefault="00137317" w:rsidP="00C45C04">
            <w:pPr>
              <w:jc w:val="center"/>
              <w:rPr>
                <w:b/>
                <w:bCs/>
                <w:color w:val="000000"/>
              </w:rPr>
            </w:pPr>
            <w:r w:rsidRPr="00D67785">
              <w:rPr>
                <w:b/>
                <w:bCs/>
                <w:color w:val="000000"/>
              </w:rPr>
              <w:t xml:space="preserve"> Số đã nộp </w:t>
            </w:r>
          </w:p>
        </w:tc>
        <w:tc>
          <w:tcPr>
            <w:tcW w:w="1559" w:type="dxa"/>
            <w:vMerge/>
            <w:vAlign w:val="center"/>
            <w:hideMark/>
          </w:tcPr>
          <w:p w:rsidR="00137317" w:rsidRPr="00D67785" w:rsidRDefault="00137317" w:rsidP="00C45C04">
            <w:pPr>
              <w:rPr>
                <w:b/>
                <w:bCs/>
                <w:color w:val="000000"/>
              </w:rPr>
            </w:pPr>
          </w:p>
        </w:tc>
      </w:tr>
      <w:tr w:rsidR="00137317" w:rsidRPr="00D67785" w:rsidTr="00C45C04">
        <w:trPr>
          <w:trHeight w:val="330"/>
          <w:jc w:val="right"/>
        </w:trPr>
        <w:tc>
          <w:tcPr>
            <w:tcW w:w="537" w:type="dxa"/>
            <w:vAlign w:val="center"/>
            <w:hideMark/>
          </w:tcPr>
          <w:p w:rsidR="00137317" w:rsidRPr="00D67785" w:rsidRDefault="00137317" w:rsidP="00C45C04">
            <w:pPr>
              <w:jc w:val="center"/>
              <w:rPr>
                <w:color w:val="000000"/>
              </w:rPr>
            </w:pPr>
            <w:r w:rsidRPr="00D67785">
              <w:rPr>
                <w:color w:val="000000"/>
              </w:rPr>
              <w:t>1</w:t>
            </w:r>
          </w:p>
        </w:tc>
        <w:tc>
          <w:tcPr>
            <w:tcW w:w="1839" w:type="dxa"/>
            <w:vAlign w:val="center"/>
            <w:hideMark/>
          </w:tcPr>
          <w:p w:rsidR="00137317" w:rsidRPr="00D67785" w:rsidRDefault="00137317" w:rsidP="00C45C04">
            <w:pPr>
              <w:rPr>
                <w:color w:val="000000"/>
              </w:rPr>
            </w:pPr>
            <w:r w:rsidRPr="00D67785">
              <w:rPr>
                <w:color w:val="000000"/>
              </w:rPr>
              <w:t>Thuế môn bài</w:t>
            </w:r>
          </w:p>
        </w:tc>
        <w:tc>
          <w:tcPr>
            <w:tcW w:w="1638" w:type="dxa"/>
            <w:vAlign w:val="center"/>
            <w:hideMark/>
          </w:tcPr>
          <w:p w:rsidR="00137317" w:rsidRPr="00D67785" w:rsidRDefault="00137317" w:rsidP="00C45C04">
            <w:pPr>
              <w:jc w:val="right"/>
              <w:rPr>
                <w:color w:val="000000"/>
              </w:rPr>
            </w:pPr>
            <w:r w:rsidRPr="00D67785">
              <w:rPr>
                <w:color w:val="000000"/>
              </w:rPr>
              <w:t> </w:t>
            </w:r>
          </w:p>
        </w:tc>
        <w:tc>
          <w:tcPr>
            <w:tcW w:w="1623" w:type="dxa"/>
            <w:vAlign w:val="center"/>
            <w:hideMark/>
          </w:tcPr>
          <w:p w:rsidR="00137317" w:rsidRPr="00D67785" w:rsidRDefault="00137317" w:rsidP="00C45C04">
            <w:pPr>
              <w:jc w:val="right"/>
              <w:rPr>
                <w:color w:val="000000"/>
              </w:rPr>
            </w:pPr>
            <w:r w:rsidRPr="00D67785">
              <w:rPr>
                <w:color w:val="000000"/>
              </w:rPr>
              <w:t xml:space="preserve">       2.000.000 </w:t>
            </w:r>
          </w:p>
        </w:tc>
        <w:tc>
          <w:tcPr>
            <w:tcW w:w="1701" w:type="dxa"/>
            <w:vAlign w:val="center"/>
            <w:hideMark/>
          </w:tcPr>
          <w:p w:rsidR="00137317" w:rsidRPr="00D67785" w:rsidRDefault="00137317" w:rsidP="00C45C04">
            <w:pPr>
              <w:jc w:val="right"/>
              <w:rPr>
                <w:color w:val="000000"/>
              </w:rPr>
            </w:pPr>
            <w:r w:rsidRPr="00D67785">
              <w:rPr>
                <w:color w:val="000000"/>
              </w:rPr>
              <w:t xml:space="preserve">       2.000.000 </w:t>
            </w:r>
          </w:p>
        </w:tc>
        <w:tc>
          <w:tcPr>
            <w:tcW w:w="1559" w:type="dxa"/>
            <w:vAlign w:val="center"/>
            <w:hideMark/>
          </w:tcPr>
          <w:p w:rsidR="00137317" w:rsidRPr="00D67785" w:rsidRDefault="00137317" w:rsidP="00C45C04">
            <w:pPr>
              <w:jc w:val="right"/>
              <w:rPr>
                <w:color w:val="000000"/>
              </w:rPr>
            </w:pPr>
            <w:r w:rsidRPr="00D67785">
              <w:rPr>
                <w:color w:val="000000"/>
              </w:rPr>
              <w:t xml:space="preserve">                    -   </w:t>
            </w:r>
          </w:p>
        </w:tc>
      </w:tr>
      <w:tr w:rsidR="00137317" w:rsidRPr="00D67785" w:rsidTr="00C45C04">
        <w:trPr>
          <w:trHeight w:val="330"/>
          <w:jc w:val="right"/>
        </w:trPr>
        <w:tc>
          <w:tcPr>
            <w:tcW w:w="537" w:type="dxa"/>
            <w:vAlign w:val="center"/>
            <w:hideMark/>
          </w:tcPr>
          <w:p w:rsidR="00137317" w:rsidRPr="00D67785" w:rsidRDefault="00137317" w:rsidP="00C45C04">
            <w:pPr>
              <w:jc w:val="center"/>
              <w:rPr>
                <w:color w:val="000000"/>
              </w:rPr>
            </w:pPr>
            <w:r w:rsidRPr="00D67785">
              <w:rPr>
                <w:color w:val="000000"/>
              </w:rPr>
              <w:t>2</w:t>
            </w:r>
          </w:p>
        </w:tc>
        <w:tc>
          <w:tcPr>
            <w:tcW w:w="1839" w:type="dxa"/>
            <w:vAlign w:val="center"/>
            <w:hideMark/>
          </w:tcPr>
          <w:p w:rsidR="00137317" w:rsidRPr="00D67785" w:rsidRDefault="00137317" w:rsidP="00C45C04">
            <w:pPr>
              <w:rPr>
                <w:color w:val="000000"/>
              </w:rPr>
            </w:pPr>
            <w:r w:rsidRPr="00D67785">
              <w:rPr>
                <w:color w:val="000000"/>
              </w:rPr>
              <w:t>Thuế GTGT</w:t>
            </w:r>
          </w:p>
        </w:tc>
        <w:tc>
          <w:tcPr>
            <w:tcW w:w="1638" w:type="dxa"/>
            <w:vAlign w:val="center"/>
            <w:hideMark/>
          </w:tcPr>
          <w:p w:rsidR="00137317" w:rsidRPr="00D67785" w:rsidRDefault="00137317" w:rsidP="00C45C04">
            <w:pPr>
              <w:jc w:val="right"/>
              <w:rPr>
                <w:color w:val="000000"/>
              </w:rPr>
            </w:pPr>
            <w:r w:rsidRPr="00D67785">
              <w:rPr>
                <w:color w:val="000000"/>
              </w:rPr>
              <w:t xml:space="preserve">162.081.306 </w:t>
            </w:r>
          </w:p>
        </w:tc>
        <w:tc>
          <w:tcPr>
            <w:tcW w:w="1623" w:type="dxa"/>
            <w:vAlign w:val="center"/>
            <w:hideMark/>
          </w:tcPr>
          <w:p w:rsidR="00137317" w:rsidRPr="00D67785" w:rsidRDefault="00137317" w:rsidP="00C45C04">
            <w:pPr>
              <w:jc w:val="right"/>
              <w:rPr>
                <w:color w:val="000000"/>
              </w:rPr>
            </w:pPr>
            <w:r w:rsidRPr="00D67785">
              <w:rPr>
                <w:color w:val="000000"/>
              </w:rPr>
              <w:t xml:space="preserve"> 834.389.107 </w:t>
            </w:r>
          </w:p>
        </w:tc>
        <w:tc>
          <w:tcPr>
            <w:tcW w:w="1701" w:type="dxa"/>
            <w:vAlign w:val="center"/>
            <w:hideMark/>
          </w:tcPr>
          <w:p w:rsidR="00137317" w:rsidRPr="00D67785" w:rsidRDefault="00137317" w:rsidP="00C45C04">
            <w:pPr>
              <w:jc w:val="center"/>
              <w:rPr>
                <w:color w:val="000000"/>
              </w:rPr>
            </w:pPr>
            <w:r w:rsidRPr="00D67785">
              <w:rPr>
                <w:color w:val="000000"/>
              </w:rPr>
              <w:t xml:space="preserve">    332.103.642 </w:t>
            </w:r>
          </w:p>
        </w:tc>
        <w:tc>
          <w:tcPr>
            <w:tcW w:w="1559" w:type="dxa"/>
            <w:vAlign w:val="center"/>
            <w:hideMark/>
          </w:tcPr>
          <w:p w:rsidR="00137317" w:rsidRPr="00D67785" w:rsidRDefault="00137317" w:rsidP="00C45C04">
            <w:pPr>
              <w:jc w:val="right"/>
              <w:rPr>
                <w:color w:val="000000"/>
              </w:rPr>
            </w:pPr>
            <w:r w:rsidRPr="00D67785">
              <w:rPr>
                <w:color w:val="000000"/>
              </w:rPr>
              <w:t xml:space="preserve">    664.66.771 </w:t>
            </w:r>
          </w:p>
        </w:tc>
      </w:tr>
      <w:tr w:rsidR="00137317" w:rsidRPr="00D67785" w:rsidTr="00C45C04">
        <w:trPr>
          <w:trHeight w:val="330"/>
          <w:jc w:val="right"/>
        </w:trPr>
        <w:tc>
          <w:tcPr>
            <w:tcW w:w="537" w:type="dxa"/>
            <w:vAlign w:val="center"/>
            <w:hideMark/>
          </w:tcPr>
          <w:p w:rsidR="00137317" w:rsidRPr="00D67785" w:rsidRDefault="00137317" w:rsidP="00C45C04">
            <w:pPr>
              <w:jc w:val="center"/>
              <w:rPr>
                <w:color w:val="000000"/>
              </w:rPr>
            </w:pPr>
            <w:r w:rsidRPr="00D67785">
              <w:rPr>
                <w:color w:val="000000"/>
              </w:rPr>
              <w:t>3</w:t>
            </w:r>
          </w:p>
        </w:tc>
        <w:tc>
          <w:tcPr>
            <w:tcW w:w="1839" w:type="dxa"/>
            <w:vAlign w:val="center"/>
            <w:hideMark/>
          </w:tcPr>
          <w:p w:rsidR="00137317" w:rsidRPr="00D67785" w:rsidRDefault="00137317" w:rsidP="00C45C04">
            <w:pPr>
              <w:rPr>
                <w:color w:val="000000"/>
              </w:rPr>
            </w:pPr>
            <w:r w:rsidRPr="00D67785">
              <w:rPr>
                <w:color w:val="000000"/>
              </w:rPr>
              <w:t>Thuế GTGT hàng NK</w:t>
            </w:r>
          </w:p>
        </w:tc>
        <w:tc>
          <w:tcPr>
            <w:tcW w:w="1638" w:type="dxa"/>
            <w:vAlign w:val="center"/>
            <w:hideMark/>
          </w:tcPr>
          <w:p w:rsidR="00137317" w:rsidRPr="00D67785" w:rsidRDefault="00137317" w:rsidP="00C45C04">
            <w:pPr>
              <w:jc w:val="right"/>
              <w:rPr>
                <w:color w:val="000000"/>
              </w:rPr>
            </w:pPr>
            <w:r w:rsidRPr="00D67785">
              <w:rPr>
                <w:color w:val="000000"/>
              </w:rPr>
              <w:t>- </w:t>
            </w:r>
          </w:p>
        </w:tc>
        <w:tc>
          <w:tcPr>
            <w:tcW w:w="1623" w:type="dxa"/>
            <w:vAlign w:val="center"/>
            <w:hideMark/>
          </w:tcPr>
          <w:p w:rsidR="00137317" w:rsidRPr="00D67785" w:rsidRDefault="00137317" w:rsidP="00051C87">
            <w:pPr>
              <w:jc w:val="right"/>
              <w:rPr>
                <w:color w:val="000000"/>
              </w:rPr>
            </w:pPr>
            <w:r w:rsidRPr="00D67785">
              <w:rPr>
                <w:color w:val="000000"/>
              </w:rPr>
              <w:t xml:space="preserve">49.701.375 </w:t>
            </w:r>
          </w:p>
        </w:tc>
        <w:tc>
          <w:tcPr>
            <w:tcW w:w="1701" w:type="dxa"/>
            <w:vAlign w:val="center"/>
            <w:hideMark/>
          </w:tcPr>
          <w:p w:rsidR="00137317" w:rsidRPr="00D67785" w:rsidRDefault="00137317" w:rsidP="00051C87">
            <w:pPr>
              <w:jc w:val="right"/>
              <w:rPr>
                <w:color w:val="000000"/>
              </w:rPr>
            </w:pPr>
            <w:r w:rsidRPr="00D67785">
              <w:rPr>
                <w:color w:val="000000"/>
              </w:rPr>
              <w:t xml:space="preserve"> 49.701.375 </w:t>
            </w:r>
          </w:p>
        </w:tc>
        <w:tc>
          <w:tcPr>
            <w:tcW w:w="1559" w:type="dxa"/>
            <w:vAlign w:val="center"/>
            <w:hideMark/>
          </w:tcPr>
          <w:p w:rsidR="00137317" w:rsidRPr="00D67785" w:rsidRDefault="00137317" w:rsidP="00C45C04">
            <w:pPr>
              <w:jc w:val="right"/>
              <w:rPr>
                <w:color w:val="000000"/>
              </w:rPr>
            </w:pPr>
            <w:r w:rsidRPr="00D67785">
              <w:rPr>
                <w:color w:val="000000"/>
              </w:rPr>
              <w:t xml:space="preserve">                    -   </w:t>
            </w:r>
          </w:p>
        </w:tc>
      </w:tr>
      <w:tr w:rsidR="00137317" w:rsidRPr="00D67785" w:rsidTr="00C45C04">
        <w:trPr>
          <w:trHeight w:val="330"/>
          <w:jc w:val="right"/>
        </w:trPr>
        <w:tc>
          <w:tcPr>
            <w:tcW w:w="537" w:type="dxa"/>
            <w:vAlign w:val="center"/>
            <w:hideMark/>
          </w:tcPr>
          <w:p w:rsidR="00137317" w:rsidRPr="00D67785" w:rsidRDefault="00137317" w:rsidP="00C45C04">
            <w:pPr>
              <w:jc w:val="center"/>
              <w:rPr>
                <w:color w:val="000000"/>
              </w:rPr>
            </w:pPr>
            <w:r w:rsidRPr="00D67785">
              <w:rPr>
                <w:color w:val="000000"/>
              </w:rPr>
              <w:t>4</w:t>
            </w:r>
          </w:p>
        </w:tc>
        <w:tc>
          <w:tcPr>
            <w:tcW w:w="1839" w:type="dxa"/>
            <w:vAlign w:val="center"/>
            <w:hideMark/>
          </w:tcPr>
          <w:p w:rsidR="00137317" w:rsidRPr="00D67785" w:rsidRDefault="00137317" w:rsidP="00C45C04">
            <w:pPr>
              <w:rPr>
                <w:color w:val="000000"/>
              </w:rPr>
            </w:pPr>
            <w:r w:rsidRPr="00D67785">
              <w:rPr>
                <w:color w:val="000000"/>
              </w:rPr>
              <w:t xml:space="preserve">Thuế TNDN </w:t>
            </w:r>
          </w:p>
        </w:tc>
        <w:tc>
          <w:tcPr>
            <w:tcW w:w="1638" w:type="dxa"/>
            <w:vAlign w:val="center"/>
            <w:hideMark/>
          </w:tcPr>
          <w:p w:rsidR="00137317" w:rsidRPr="00D67785" w:rsidRDefault="00137317" w:rsidP="00C45C04">
            <w:pPr>
              <w:jc w:val="right"/>
              <w:rPr>
                <w:color w:val="000000"/>
              </w:rPr>
            </w:pPr>
            <w:r w:rsidRPr="00D67785">
              <w:rPr>
                <w:color w:val="000000"/>
              </w:rPr>
              <w:t xml:space="preserve">     20.070.810 </w:t>
            </w:r>
          </w:p>
        </w:tc>
        <w:tc>
          <w:tcPr>
            <w:tcW w:w="1623" w:type="dxa"/>
            <w:vAlign w:val="center"/>
            <w:hideMark/>
          </w:tcPr>
          <w:p w:rsidR="00137317" w:rsidRPr="00D67785" w:rsidRDefault="00137317" w:rsidP="00C45C04">
            <w:pPr>
              <w:jc w:val="right"/>
              <w:rPr>
                <w:color w:val="000000"/>
              </w:rPr>
            </w:pPr>
            <w:r w:rsidRPr="00D67785">
              <w:rPr>
                <w:color w:val="000000"/>
              </w:rPr>
              <w:t xml:space="preserve">    13.680.822 </w:t>
            </w:r>
          </w:p>
        </w:tc>
        <w:tc>
          <w:tcPr>
            <w:tcW w:w="1701" w:type="dxa"/>
            <w:vAlign w:val="center"/>
            <w:hideMark/>
          </w:tcPr>
          <w:p w:rsidR="00137317" w:rsidRPr="00D67785" w:rsidRDefault="00137317" w:rsidP="00C45C04">
            <w:pPr>
              <w:jc w:val="right"/>
              <w:rPr>
                <w:color w:val="000000"/>
              </w:rPr>
            </w:pPr>
            <w:r w:rsidRPr="00D67785">
              <w:rPr>
                <w:color w:val="000000"/>
              </w:rPr>
              <w:t xml:space="preserve">     20.070.810 </w:t>
            </w:r>
          </w:p>
        </w:tc>
        <w:tc>
          <w:tcPr>
            <w:tcW w:w="1559" w:type="dxa"/>
            <w:vAlign w:val="center"/>
            <w:hideMark/>
          </w:tcPr>
          <w:p w:rsidR="00137317" w:rsidRPr="00D67785" w:rsidRDefault="00137317" w:rsidP="00C45C04">
            <w:pPr>
              <w:jc w:val="right"/>
              <w:rPr>
                <w:color w:val="000000"/>
              </w:rPr>
            </w:pPr>
            <w:r w:rsidRPr="00D67785">
              <w:rPr>
                <w:color w:val="000000"/>
              </w:rPr>
              <w:t xml:space="preserve">    13.680.822 </w:t>
            </w:r>
          </w:p>
        </w:tc>
      </w:tr>
      <w:tr w:rsidR="00137317" w:rsidRPr="00D67785" w:rsidTr="00C45C04">
        <w:trPr>
          <w:trHeight w:val="330"/>
          <w:jc w:val="right"/>
        </w:trPr>
        <w:tc>
          <w:tcPr>
            <w:tcW w:w="537" w:type="dxa"/>
            <w:vAlign w:val="center"/>
            <w:hideMark/>
          </w:tcPr>
          <w:p w:rsidR="00137317" w:rsidRPr="00D67785" w:rsidRDefault="00137317" w:rsidP="00C45C04">
            <w:pPr>
              <w:jc w:val="center"/>
              <w:rPr>
                <w:color w:val="000000"/>
              </w:rPr>
            </w:pPr>
            <w:r w:rsidRPr="00D67785">
              <w:rPr>
                <w:color w:val="000000"/>
              </w:rPr>
              <w:t>5</w:t>
            </w:r>
          </w:p>
        </w:tc>
        <w:tc>
          <w:tcPr>
            <w:tcW w:w="1839" w:type="dxa"/>
            <w:vAlign w:val="center"/>
            <w:hideMark/>
          </w:tcPr>
          <w:p w:rsidR="00137317" w:rsidRPr="00D67785" w:rsidRDefault="00137317" w:rsidP="00C45C04">
            <w:pPr>
              <w:rPr>
                <w:color w:val="000000"/>
              </w:rPr>
            </w:pPr>
            <w:r w:rsidRPr="00D67785">
              <w:rPr>
                <w:color w:val="000000"/>
              </w:rPr>
              <w:t>Thuế  TTĐB</w:t>
            </w:r>
          </w:p>
        </w:tc>
        <w:tc>
          <w:tcPr>
            <w:tcW w:w="1638" w:type="dxa"/>
            <w:shd w:val="clear" w:color="auto" w:fill="FFFFFF"/>
            <w:noWrap/>
            <w:hideMark/>
          </w:tcPr>
          <w:p w:rsidR="00137317" w:rsidRPr="00D67785" w:rsidRDefault="00137317" w:rsidP="00C45C04">
            <w:pPr>
              <w:jc w:val="right"/>
              <w:rPr>
                <w:color w:val="000000"/>
              </w:rPr>
            </w:pPr>
            <w:r w:rsidRPr="00D67785">
              <w:rPr>
                <w:color w:val="000000"/>
              </w:rPr>
              <w:t xml:space="preserve">                      -   </w:t>
            </w:r>
          </w:p>
        </w:tc>
        <w:tc>
          <w:tcPr>
            <w:tcW w:w="1623" w:type="dxa"/>
            <w:vAlign w:val="center"/>
            <w:hideMark/>
          </w:tcPr>
          <w:p w:rsidR="00137317" w:rsidRPr="00D67785" w:rsidRDefault="00137317" w:rsidP="00C45C04">
            <w:pPr>
              <w:jc w:val="right"/>
              <w:rPr>
                <w:color w:val="000000"/>
              </w:rPr>
            </w:pPr>
            <w:r w:rsidRPr="00D67785">
              <w:rPr>
                <w:color w:val="000000"/>
              </w:rPr>
              <w:t xml:space="preserve">                     -   </w:t>
            </w:r>
          </w:p>
        </w:tc>
        <w:tc>
          <w:tcPr>
            <w:tcW w:w="1701" w:type="dxa"/>
            <w:vAlign w:val="center"/>
            <w:hideMark/>
          </w:tcPr>
          <w:p w:rsidR="00137317" w:rsidRPr="00D67785" w:rsidRDefault="00137317" w:rsidP="00C45C04">
            <w:pPr>
              <w:jc w:val="right"/>
              <w:rPr>
                <w:color w:val="000000"/>
              </w:rPr>
            </w:pPr>
            <w:r w:rsidRPr="00D67785">
              <w:rPr>
                <w:color w:val="000000"/>
              </w:rPr>
              <w:t xml:space="preserve">                       -   </w:t>
            </w:r>
          </w:p>
        </w:tc>
        <w:tc>
          <w:tcPr>
            <w:tcW w:w="1559" w:type="dxa"/>
            <w:vAlign w:val="center"/>
            <w:hideMark/>
          </w:tcPr>
          <w:p w:rsidR="00137317" w:rsidRPr="00D67785" w:rsidRDefault="00137317" w:rsidP="00C45C04">
            <w:pPr>
              <w:jc w:val="right"/>
              <w:rPr>
                <w:color w:val="000000"/>
              </w:rPr>
            </w:pPr>
            <w:r w:rsidRPr="00D67785">
              <w:rPr>
                <w:color w:val="000000"/>
              </w:rPr>
              <w:t xml:space="preserve">                    -   </w:t>
            </w:r>
          </w:p>
        </w:tc>
      </w:tr>
      <w:tr w:rsidR="00137317" w:rsidRPr="00D67785" w:rsidTr="00C45C04">
        <w:trPr>
          <w:trHeight w:val="330"/>
          <w:jc w:val="right"/>
        </w:trPr>
        <w:tc>
          <w:tcPr>
            <w:tcW w:w="537" w:type="dxa"/>
            <w:vAlign w:val="center"/>
            <w:hideMark/>
          </w:tcPr>
          <w:p w:rsidR="00137317" w:rsidRPr="00D67785" w:rsidRDefault="00137317" w:rsidP="00C45C04">
            <w:pPr>
              <w:jc w:val="center"/>
              <w:rPr>
                <w:color w:val="000000"/>
              </w:rPr>
            </w:pPr>
            <w:r w:rsidRPr="00D67785">
              <w:rPr>
                <w:color w:val="000000"/>
              </w:rPr>
              <w:lastRenderedPageBreak/>
              <w:t>6</w:t>
            </w:r>
          </w:p>
        </w:tc>
        <w:tc>
          <w:tcPr>
            <w:tcW w:w="1839" w:type="dxa"/>
            <w:vAlign w:val="center"/>
            <w:hideMark/>
          </w:tcPr>
          <w:p w:rsidR="00137317" w:rsidRPr="00D67785" w:rsidRDefault="00137317" w:rsidP="00C45C04">
            <w:pPr>
              <w:rPr>
                <w:color w:val="000000"/>
              </w:rPr>
            </w:pPr>
            <w:r w:rsidRPr="00D67785">
              <w:rPr>
                <w:color w:val="000000"/>
              </w:rPr>
              <w:t>Thuế TNCN</w:t>
            </w:r>
          </w:p>
        </w:tc>
        <w:tc>
          <w:tcPr>
            <w:tcW w:w="1638" w:type="dxa"/>
            <w:shd w:val="clear" w:color="auto" w:fill="FFFFFF"/>
            <w:noWrap/>
            <w:hideMark/>
          </w:tcPr>
          <w:p w:rsidR="00137317" w:rsidRPr="00D67785" w:rsidRDefault="00137317" w:rsidP="00C45C04">
            <w:pPr>
              <w:jc w:val="right"/>
              <w:rPr>
                <w:color w:val="000000"/>
              </w:rPr>
            </w:pPr>
            <w:r w:rsidRPr="00D67785">
              <w:rPr>
                <w:color w:val="000000"/>
              </w:rPr>
              <w:t xml:space="preserve">                      -   </w:t>
            </w:r>
          </w:p>
        </w:tc>
        <w:tc>
          <w:tcPr>
            <w:tcW w:w="1623" w:type="dxa"/>
            <w:vAlign w:val="center"/>
            <w:hideMark/>
          </w:tcPr>
          <w:p w:rsidR="00137317" w:rsidRPr="00D67785" w:rsidRDefault="00137317" w:rsidP="00C45C04">
            <w:pPr>
              <w:jc w:val="right"/>
              <w:rPr>
                <w:color w:val="000000"/>
              </w:rPr>
            </w:pPr>
            <w:r w:rsidRPr="00D67785">
              <w:rPr>
                <w:color w:val="000000"/>
              </w:rPr>
              <w:t xml:space="preserve">                     -   </w:t>
            </w:r>
          </w:p>
        </w:tc>
        <w:tc>
          <w:tcPr>
            <w:tcW w:w="1701" w:type="dxa"/>
            <w:vAlign w:val="center"/>
            <w:hideMark/>
          </w:tcPr>
          <w:p w:rsidR="00137317" w:rsidRPr="00D67785" w:rsidRDefault="00137317" w:rsidP="00C45C04">
            <w:pPr>
              <w:jc w:val="right"/>
              <w:rPr>
                <w:color w:val="000000"/>
              </w:rPr>
            </w:pPr>
            <w:r w:rsidRPr="00D67785">
              <w:rPr>
                <w:color w:val="000000"/>
              </w:rPr>
              <w:t xml:space="preserve">                      -   </w:t>
            </w:r>
          </w:p>
        </w:tc>
        <w:tc>
          <w:tcPr>
            <w:tcW w:w="1559" w:type="dxa"/>
            <w:vAlign w:val="center"/>
            <w:hideMark/>
          </w:tcPr>
          <w:p w:rsidR="00137317" w:rsidRPr="00D67785" w:rsidRDefault="00137317" w:rsidP="00C45C04">
            <w:pPr>
              <w:jc w:val="right"/>
              <w:rPr>
                <w:color w:val="000000"/>
              </w:rPr>
            </w:pPr>
            <w:r w:rsidRPr="00D67785">
              <w:rPr>
                <w:color w:val="000000"/>
              </w:rPr>
              <w:t xml:space="preserve">                    -   </w:t>
            </w:r>
          </w:p>
        </w:tc>
      </w:tr>
      <w:tr w:rsidR="00137317" w:rsidRPr="00D67785" w:rsidTr="00C45C04">
        <w:trPr>
          <w:trHeight w:val="645"/>
          <w:jc w:val="right"/>
        </w:trPr>
        <w:tc>
          <w:tcPr>
            <w:tcW w:w="537" w:type="dxa"/>
            <w:vAlign w:val="center"/>
            <w:hideMark/>
          </w:tcPr>
          <w:p w:rsidR="00137317" w:rsidRPr="00D67785" w:rsidRDefault="00137317" w:rsidP="00C45C04">
            <w:pPr>
              <w:jc w:val="center"/>
              <w:rPr>
                <w:color w:val="000000"/>
              </w:rPr>
            </w:pPr>
            <w:r w:rsidRPr="00D67785">
              <w:rPr>
                <w:color w:val="000000"/>
              </w:rPr>
              <w:t>7</w:t>
            </w:r>
          </w:p>
        </w:tc>
        <w:tc>
          <w:tcPr>
            <w:tcW w:w="1839" w:type="dxa"/>
            <w:vAlign w:val="center"/>
            <w:hideMark/>
          </w:tcPr>
          <w:p w:rsidR="00137317" w:rsidRPr="00D67785" w:rsidRDefault="00137317" w:rsidP="00C45C04">
            <w:pPr>
              <w:rPr>
                <w:color w:val="000000"/>
              </w:rPr>
            </w:pPr>
            <w:r w:rsidRPr="00D67785">
              <w:rPr>
                <w:color w:val="000000"/>
              </w:rPr>
              <w:t>Thuế Tài nguyên; Phí BVMT</w:t>
            </w:r>
          </w:p>
        </w:tc>
        <w:tc>
          <w:tcPr>
            <w:tcW w:w="1638" w:type="dxa"/>
            <w:vAlign w:val="center"/>
            <w:hideMark/>
          </w:tcPr>
          <w:p w:rsidR="00137317" w:rsidRPr="00D67785" w:rsidRDefault="00137317" w:rsidP="00C45C04">
            <w:pPr>
              <w:jc w:val="right"/>
              <w:rPr>
                <w:color w:val="000000"/>
              </w:rPr>
            </w:pPr>
            <w:r w:rsidRPr="00D67785">
              <w:rPr>
                <w:color w:val="000000"/>
              </w:rPr>
              <w:t xml:space="preserve">  287.185.000 </w:t>
            </w:r>
          </w:p>
        </w:tc>
        <w:tc>
          <w:tcPr>
            <w:tcW w:w="1623" w:type="dxa"/>
            <w:vAlign w:val="center"/>
            <w:hideMark/>
          </w:tcPr>
          <w:p w:rsidR="00137317" w:rsidRPr="00D67785" w:rsidRDefault="00137317" w:rsidP="00C45C04">
            <w:pPr>
              <w:jc w:val="right"/>
              <w:rPr>
                <w:color w:val="000000"/>
              </w:rPr>
            </w:pPr>
            <w:r w:rsidRPr="00D67785">
              <w:rPr>
                <w:color w:val="000000"/>
              </w:rPr>
              <w:t xml:space="preserve">  777.715.120 </w:t>
            </w:r>
          </w:p>
        </w:tc>
        <w:tc>
          <w:tcPr>
            <w:tcW w:w="1701" w:type="dxa"/>
            <w:vAlign w:val="center"/>
            <w:hideMark/>
          </w:tcPr>
          <w:p w:rsidR="00137317" w:rsidRPr="00D67785" w:rsidRDefault="00137317" w:rsidP="00C45C04">
            <w:pPr>
              <w:jc w:val="right"/>
              <w:rPr>
                <w:color w:val="000000"/>
              </w:rPr>
            </w:pPr>
            <w:r w:rsidRPr="00D67785">
              <w:rPr>
                <w:color w:val="000000"/>
              </w:rPr>
              <w:t xml:space="preserve">   879.575.120 </w:t>
            </w:r>
          </w:p>
        </w:tc>
        <w:tc>
          <w:tcPr>
            <w:tcW w:w="1559" w:type="dxa"/>
            <w:vAlign w:val="center"/>
            <w:hideMark/>
          </w:tcPr>
          <w:p w:rsidR="00137317" w:rsidRPr="00D67785" w:rsidRDefault="00137317" w:rsidP="00C45C04">
            <w:pPr>
              <w:jc w:val="right"/>
              <w:rPr>
                <w:color w:val="000000"/>
              </w:rPr>
            </w:pPr>
            <w:r w:rsidRPr="00D67785">
              <w:rPr>
                <w:color w:val="000000"/>
              </w:rPr>
              <w:t xml:space="preserve"> 185.325.000 </w:t>
            </w:r>
          </w:p>
        </w:tc>
      </w:tr>
      <w:tr w:rsidR="00137317" w:rsidRPr="00D67785" w:rsidTr="00C45C04">
        <w:trPr>
          <w:trHeight w:val="645"/>
          <w:jc w:val="right"/>
        </w:trPr>
        <w:tc>
          <w:tcPr>
            <w:tcW w:w="537" w:type="dxa"/>
            <w:vAlign w:val="center"/>
            <w:hideMark/>
          </w:tcPr>
          <w:p w:rsidR="00137317" w:rsidRPr="00D67785" w:rsidRDefault="00137317" w:rsidP="00C45C04">
            <w:pPr>
              <w:jc w:val="center"/>
              <w:rPr>
                <w:color w:val="000000"/>
              </w:rPr>
            </w:pPr>
            <w:r w:rsidRPr="00D67785">
              <w:rPr>
                <w:color w:val="000000"/>
              </w:rPr>
              <w:t>8</w:t>
            </w:r>
          </w:p>
        </w:tc>
        <w:tc>
          <w:tcPr>
            <w:tcW w:w="1839" w:type="dxa"/>
            <w:vAlign w:val="center"/>
            <w:hideMark/>
          </w:tcPr>
          <w:p w:rsidR="00137317" w:rsidRPr="00D67785" w:rsidRDefault="00137317" w:rsidP="00C45C04">
            <w:pPr>
              <w:rPr>
                <w:color w:val="000000"/>
              </w:rPr>
            </w:pPr>
            <w:r w:rsidRPr="00D67785">
              <w:rPr>
                <w:color w:val="000000"/>
              </w:rPr>
              <w:t>Thuế sử dụng đất, tiền thuê đất</w:t>
            </w:r>
          </w:p>
        </w:tc>
        <w:tc>
          <w:tcPr>
            <w:tcW w:w="1638" w:type="dxa"/>
            <w:vAlign w:val="center"/>
            <w:hideMark/>
          </w:tcPr>
          <w:p w:rsidR="00137317" w:rsidRPr="00D67785" w:rsidRDefault="00137317" w:rsidP="00C45C04">
            <w:pPr>
              <w:jc w:val="right"/>
              <w:rPr>
                <w:color w:val="000000"/>
              </w:rPr>
            </w:pPr>
            <w:r w:rsidRPr="00D67785">
              <w:rPr>
                <w:color w:val="000000"/>
              </w:rPr>
              <w:t xml:space="preserve">                     -   </w:t>
            </w:r>
          </w:p>
        </w:tc>
        <w:tc>
          <w:tcPr>
            <w:tcW w:w="1623" w:type="dxa"/>
            <w:vAlign w:val="center"/>
            <w:hideMark/>
          </w:tcPr>
          <w:p w:rsidR="00137317" w:rsidRPr="00D67785" w:rsidRDefault="00137317" w:rsidP="00C45C04">
            <w:pPr>
              <w:jc w:val="right"/>
              <w:rPr>
                <w:color w:val="000000"/>
              </w:rPr>
            </w:pPr>
            <w:r w:rsidRPr="00D67785">
              <w:rPr>
                <w:color w:val="000000"/>
              </w:rPr>
              <w:t xml:space="preserve">   110.446.500 </w:t>
            </w:r>
          </w:p>
        </w:tc>
        <w:tc>
          <w:tcPr>
            <w:tcW w:w="1701" w:type="dxa"/>
            <w:vAlign w:val="center"/>
            <w:hideMark/>
          </w:tcPr>
          <w:p w:rsidR="00137317" w:rsidRPr="00D67785" w:rsidRDefault="00137317" w:rsidP="00C45C04">
            <w:pPr>
              <w:jc w:val="right"/>
              <w:rPr>
                <w:color w:val="000000"/>
              </w:rPr>
            </w:pPr>
            <w:r w:rsidRPr="00D67785">
              <w:rPr>
                <w:color w:val="000000"/>
              </w:rPr>
              <w:t xml:space="preserve">   110.446.500 </w:t>
            </w:r>
          </w:p>
        </w:tc>
        <w:tc>
          <w:tcPr>
            <w:tcW w:w="1559" w:type="dxa"/>
            <w:vAlign w:val="center"/>
            <w:hideMark/>
          </w:tcPr>
          <w:p w:rsidR="00137317" w:rsidRPr="00D67785" w:rsidRDefault="00137317" w:rsidP="00C45C04">
            <w:pPr>
              <w:jc w:val="right"/>
              <w:rPr>
                <w:color w:val="000000"/>
              </w:rPr>
            </w:pPr>
            <w:r w:rsidRPr="00D67785">
              <w:rPr>
                <w:color w:val="000000"/>
              </w:rPr>
              <w:t xml:space="preserve">                     -   </w:t>
            </w:r>
          </w:p>
        </w:tc>
      </w:tr>
      <w:tr w:rsidR="00137317" w:rsidRPr="00D67785" w:rsidTr="00C45C04">
        <w:trPr>
          <w:trHeight w:val="330"/>
          <w:jc w:val="right"/>
        </w:trPr>
        <w:tc>
          <w:tcPr>
            <w:tcW w:w="537" w:type="dxa"/>
            <w:vAlign w:val="center"/>
            <w:hideMark/>
          </w:tcPr>
          <w:p w:rsidR="00137317" w:rsidRPr="00D67785" w:rsidRDefault="00137317" w:rsidP="00C45C04">
            <w:pPr>
              <w:jc w:val="center"/>
              <w:rPr>
                <w:color w:val="000000"/>
              </w:rPr>
            </w:pPr>
            <w:r w:rsidRPr="00D67785">
              <w:rPr>
                <w:color w:val="000000"/>
              </w:rPr>
              <w:t> </w:t>
            </w:r>
          </w:p>
        </w:tc>
        <w:tc>
          <w:tcPr>
            <w:tcW w:w="1839" w:type="dxa"/>
            <w:vAlign w:val="center"/>
            <w:hideMark/>
          </w:tcPr>
          <w:p w:rsidR="00137317" w:rsidRPr="00D67785" w:rsidRDefault="00137317" w:rsidP="00C45C04">
            <w:pPr>
              <w:rPr>
                <w:b/>
                <w:bCs/>
                <w:i/>
                <w:iCs/>
                <w:color w:val="000000"/>
              </w:rPr>
            </w:pPr>
            <w:r w:rsidRPr="00D67785">
              <w:rPr>
                <w:b/>
                <w:bCs/>
                <w:i/>
                <w:iCs/>
                <w:color w:val="000000"/>
              </w:rPr>
              <w:t>Tổng cộng 2020</w:t>
            </w:r>
          </w:p>
        </w:tc>
        <w:tc>
          <w:tcPr>
            <w:tcW w:w="1638" w:type="dxa"/>
            <w:vAlign w:val="center"/>
            <w:hideMark/>
          </w:tcPr>
          <w:p w:rsidR="00137317" w:rsidRPr="00D67785" w:rsidRDefault="00137317" w:rsidP="00C45C04">
            <w:pPr>
              <w:jc w:val="right"/>
              <w:rPr>
                <w:b/>
                <w:bCs/>
                <w:i/>
                <w:iCs/>
                <w:color w:val="000000"/>
              </w:rPr>
            </w:pPr>
            <w:r w:rsidRPr="00D67785">
              <w:rPr>
                <w:b/>
                <w:bCs/>
                <w:i/>
                <w:iCs/>
                <w:color w:val="000000"/>
              </w:rPr>
              <w:t xml:space="preserve">   469.337.116 </w:t>
            </w:r>
          </w:p>
        </w:tc>
        <w:tc>
          <w:tcPr>
            <w:tcW w:w="1623" w:type="dxa"/>
            <w:vAlign w:val="center"/>
            <w:hideMark/>
          </w:tcPr>
          <w:p w:rsidR="00137317" w:rsidRPr="00D67785" w:rsidRDefault="00137317" w:rsidP="00C45C04">
            <w:pPr>
              <w:rPr>
                <w:b/>
                <w:bCs/>
                <w:i/>
                <w:iCs/>
                <w:color w:val="000000"/>
              </w:rPr>
            </w:pPr>
            <w:r w:rsidRPr="00D67785">
              <w:rPr>
                <w:b/>
                <w:bCs/>
                <w:i/>
                <w:iCs/>
                <w:color w:val="000000"/>
              </w:rPr>
              <w:t xml:space="preserve">1.787.932.924 </w:t>
            </w:r>
          </w:p>
        </w:tc>
        <w:tc>
          <w:tcPr>
            <w:tcW w:w="1701" w:type="dxa"/>
            <w:vAlign w:val="center"/>
            <w:hideMark/>
          </w:tcPr>
          <w:p w:rsidR="00137317" w:rsidRPr="00D67785" w:rsidRDefault="00137317" w:rsidP="00C45C04">
            <w:pPr>
              <w:rPr>
                <w:b/>
                <w:bCs/>
                <w:i/>
                <w:iCs/>
                <w:color w:val="000000"/>
              </w:rPr>
            </w:pPr>
            <w:r w:rsidRPr="00D67785">
              <w:rPr>
                <w:b/>
                <w:bCs/>
                <w:i/>
                <w:iCs/>
                <w:color w:val="000000"/>
              </w:rPr>
              <w:t xml:space="preserve"> 1.393.897.447 </w:t>
            </w:r>
          </w:p>
        </w:tc>
        <w:tc>
          <w:tcPr>
            <w:tcW w:w="1559" w:type="dxa"/>
            <w:vAlign w:val="center"/>
            <w:hideMark/>
          </w:tcPr>
          <w:p w:rsidR="00137317" w:rsidRPr="00D67785" w:rsidRDefault="00137317" w:rsidP="00C45C04">
            <w:pPr>
              <w:jc w:val="right"/>
              <w:rPr>
                <w:b/>
                <w:bCs/>
                <w:i/>
                <w:iCs/>
                <w:color w:val="000000"/>
              </w:rPr>
            </w:pPr>
            <w:r w:rsidRPr="00D67785">
              <w:rPr>
                <w:b/>
                <w:bCs/>
                <w:i/>
                <w:iCs/>
                <w:color w:val="000000"/>
              </w:rPr>
              <w:t xml:space="preserve">863.372.593 </w:t>
            </w:r>
          </w:p>
        </w:tc>
      </w:tr>
    </w:tbl>
    <w:p w:rsidR="00FE5DDF" w:rsidRPr="006370BA" w:rsidRDefault="00FE5DDF" w:rsidP="00EC73DF">
      <w:pPr>
        <w:spacing w:before="120" w:after="120"/>
        <w:ind w:firstLine="709"/>
        <w:jc w:val="both"/>
        <w:rPr>
          <w:rFonts w:asciiTheme="majorHAnsi" w:hAnsiTheme="majorHAnsi" w:cstheme="majorHAnsi"/>
          <w:i/>
          <w:sz w:val="28"/>
          <w:szCs w:val="28"/>
          <w:lang w:val="nl-NL"/>
        </w:rPr>
      </w:pPr>
      <w:r w:rsidRPr="006370BA">
        <w:rPr>
          <w:rFonts w:asciiTheme="majorHAnsi" w:hAnsiTheme="majorHAnsi" w:cstheme="majorHAnsi"/>
          <w:i/>
          <w:sz w:val="28"/>
          <w:szCs w:val="28"/>
          <w:lang w:val="nl-NL"/>
        </w:rPr>
        <w:t>a) Việc in, phát hành, quản lý và sử dụng hóa đơn</w:t>
      </w:r>
    </w:p>
    <w:p w:rsidR="005204D7" w:rsidRPr="006370BA" w:rsidRDefault="005204D7" w:rsidP="005204D7">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Công ty sử dụng hóa đơn theo hình thức đặt in bởi Công ty TNHH In và Thương mại Trọng Tín. Trong kỳ từ ngày 01/01/2020 đến ngày 31/12/2020, tồn kỳ trước chuyển sang 811 hóa đơn, phát hành mới 750 hóa đơn, sử dụng 851 hóa đơn, xóa 36 hóa đơn, tồn cuối kỳ 674 hóa đơn (từ số 0000077 đến 0000750)</w:t>
      </w:r>
      <w:r w:rsidR="00137317">
        <w:rPr>
          <w:rFonts w:asciiTheme="majorHAnsi" w:hAnsiTheme="majorHAnsi" w:cstheme="majorHAnsi"/>
          <w:sz w:val="28"/>
          <w:szCs w:val="28"/>
          <w:lang w:val="nl-NL"/>
        </w:rPr>
        <w:t>.</w:t>
      </w:r>
    </w:p>
    <w:p w:rsidR="00486954" w:rsidRPr="006370BA" w:rsidRDefault="005204D7" w:rsidP="005204D7">
      <w:pPr>
        <w:spacing w:before="120" w:after="120"/>
        <w:ind w:firstLine="709"/>
        <w:jc w:val="both"/>
        <w:rPr>
          <w:rFonts w:asciiTheme="majorHAnsi" w:hAnsiTheme="majorHAnsi" w:cstheme="majorHAnsi"/>
          <w:bCs/>
          <w:sz w:val="28"/>
          <w:szCs w:val="28"/>
          <w:lang w:val="nl-NL"/>
        </w:rPr>
      </w:pPr>
      <w:r w:rsidRPr="006370BA">
        <w:rPr>
          <w:rFonts w:asciiTheme="majorHAnsi" w:hAnsiTheme="majorHAnsi" w:cstheme="majorHAnsi"/>
          <w:sz w:val="28"/>
          <w:szCs w:val="28"/>
          <w:lang w:val="nl-NL"/>
        </w:rPr>
        <w:t xml:space="preserve">Qua kiểm tra, Công ty phát hành, sử dụng, quản lý hóa đơn cơ bản đảm bảo quy định tại Thông tư số 39/2014/TT-BTC ngày 31/3/2014; Thông tư số 26/2015/TT-BTC ngày 27/02/2015 của Bộ Tài chính về hướng dẫn thi hành Nghị định của Chính phủ quy định về hóa đơn bán hàng, cung ứng dịch vụ. Tuy nhiên: (1) Hóa đơn bán lẻ </w:t>
      </w:r>
      <w:r w:rsidR="009A3564">
        <w:rPr>
          <w:rFonts w:asciiTheme="majorHAnsi" w:hAnsiTheme="majorHAnsi" w:cstheme="majorHAnsi"/>
          <w:sz w:val="28"/>
          <w:szCs w:val="28"/>
          <w:lang w:val="nl-NL"/>
        </w:rPr>
        <w:t>không</w:t>
      </w:r>
      <w:r w:rsidR="00350A2D">
        <w:rPr>
          <w:rFonts w:asciiTheme="majorHAnsi" w:hAnsiTheme="majorHAnsi" w:cstheme="majorHAnsi"/>
          <w:sz w:val="28"/>
          <w:szCs w:val="28"/>
          <w:lang w:val="nl-NL"/>
        </w:rPr>
        <w:t xml:space="preserve"> </w:t>
      </w:r>
      <w:r w:rsidRPr="006370BA">
        <w:rPr>
          <w:rFonts w:asciiTheme="majorHAnsi" w:hAnsiTheme="majorHAnsi" w:cstheme="majorHAnsi"/>
          <w:sz w:val="28"/>
          <w:szCs w:val="28"/>
          <w:lang w:val="nl-NL"/>
        </w:rPr>
        <w:t>giao cho khách hàng không ghi rõ là “người mua không lấy hóa đơn”</w:t>
      </w:r>
      <w:r w:rsidR="00D7506C">
        <w:rPr>
          <w:rFonts w:asciiTheme="majorHAnsi" w:hAnsiTheme="majorHAnsi" w:cstheme="majorHAnsi"/>
          <w:sz w:val="28"/>
          <w:szCs w:val="28"/>
          <w:lang w:val="nl-NL"/>
        </w:rPr>
        <w:t>,</w:t>
      </w:r>
      <w:r w:rsidRPr="006370BA">
        <w:rPr>
          <w:rFonts w:asciiTheme="majorHAnsi" w:hAnsiTheme="majorHAnsi" w:cstheme="majorHAnsi"/>
          <w:sz w:val="28"/>
          <w:szCs w:val="28"/>
          <w:lang w:val="nl-NL"/>
        </w:rPr>
        <w:t xml:space="preserve"> (2) </w:t>
      </w:r>
      <w:r w:rsidR="00402CD6">
        <w:rPr>
          <w:rFonts w:asciiTheme="majorHAnsi" w:hAnsiTheme="majorHAnsi" w:cstheme="majorHAnsi"/>
          <w:sz w:val="28"/>
          <w:szCs w:val="28"/>
          <w:lang w:val="nl-NL"/>
        </w:rPr>
        <w:t>Một số hóa đơn t</w:t>
      </w:r>
      <w:r w:rsidRPr="006370BA">
        <w:rPr>
          <w:rFonts w:asciiTheme="majorHAnsi" w:hAnsiTheme="majorHAnsi" w:cstheme="majorHAnsi"/>
          <w:sz w:val="28"/>
          <w:szCs w:val="28"/>
          <w:lang w:val="nl-NL"/>
        </w:rPr>
        <w:t>ẩy xóa, sữa chữa</w:t>
      </w:r>
      <w:r w:rsidR="00402CD6">
        <w:rPr>
          <w:rFonts w:asciiTheme="majorHAnsi" w:hAnsiTheme="majorHAnsi" w:cstheme="majorHAnsi"/>
          <w:sz w:val="28"/>
          <w:szCs w:val="28"/>
          <w:lang w:val="nl-NL"/>
        </w:rPr>
        <w:t>,</w:t>
      </w:r>
      <w:r w:rsidR="001A6551">
        <w:rPr>
          <w:rFonts w:asciiTheme="majorHAnsi" w:hAnsiTheme="majorHAnsi" w:cstheme="majorHAnsi"/>
          <w:sz w:val="28"/>
          <w:szCs w:val="28"/>
          <w:lang w:val="nl-NL"/>
        </w:rPr>
        <w:t xml:space="preserve"> </w:t>
      </w:r>
      <w:r w:rsidRPr="006370BA">
        <w:rPr>
          <w:rFonts w:asciiTheme="majorHAnsi" w:hAnsiTheme="majorHAnsi" w:cstheme="majorHAnsi"/>
          <w:sz w:val="28"/>
          <w:szCs w:val="28"/>
          <w:lang w:val="nl-NL"/>
        </w:rPr>
        <w:t>viết sai chưa gạch bỏ theo đúng quy định</w:t>
      </w:r>
      <w:r w:rsidR="00486954" w:rsidRPr="006370BA">
        <w:rPr>
          <w:rFonts w:asciiTheme="majorHAnsi" w:hAnsiTheme="majorHAnsi" w:cstheme="majorHAnsi"/>
          <w:bCs/>
          <w:sz w:val="28"/>
          <w:szCs w:val="28"/>
          <w:lang w:val="nl-NL"/>
        </w:rPr>
        <w:t xml:space="preserve">. </w:t>
      </w:r>
    </w:p>
    <w:p w:rsidR="00180AAF" w:rsidRPr="006370BA" w:rsidRDefault="00180AAF" w:rsidP="00EC73DF">
      <w:pPr>
        <w:spacing w:before="120" w:after="120"/>
        <w:ind w:firstLine="709"/>
        <w:jc w:val="both"/>
        <w:rPr>
          <w:rFonts w:asciiTheme="majorHAnsi" w:hAnsiTheme="majorHAnsi" w:cstheme="majorHAnsi"/>
          <w:i/>
          <w:sz w:val="28"/>
          <w:szCs w:val="28"/>
          <w:lang w:val="nl-NL"/>
        </w:rPr>
      </w:pPr>
      <w:r w:rsidRPr="006370BA">
        <w:rPr>
          <w:rFonts w:asciiTheme="majorHAnsi" w:hAnsiTheme="majorHAnsi" w:cstheme="majorHAnsi"/>
          <w:i/>
          <w:sz w:val="28"/>
          <w:szCs w:val="28"/>
          <w:lang w:val="nl-NL"/>
        </w:rPr>
        <w:t>b</w:t>
      </w:r>
      <w:r w:rsidRPr="006370BA">
        <w:rPr>
          <w:rFonts w:asciiTheme="majorHAnsi" w:hAnsiTheme="majorHAnsi" w:cstheme="majorHAnsi"/>
          <w:i/>
          <w:sz w:val="28"/>
          <w:szCs w:val="28"/>
          <w:lang w:val="vi-VN"/>
        </w:rPr>
        <w:t xml:space="preserve">) Về thuế </w:t>
      </w:r>
      <w:r w:rsidRPr="006370BA">
        <w:rPr>
          <w:rFonts w:asciiTheme="majorHAnsi" w:hAnsiTheme="majorHAnsi" w:cstheme="majorHAnsi"/>
          <w:i/>
          <w:sz w:val="28"/>
          <w:szCs w:val="28"/>
          <w:lang w:val="nl-NL"/>
        </w:rPr>
        <w:t>Giá trị gia tăng (</w:t>
      </w:r>
      <w:r w:rsidRPr="006370BA">
        <w:rPr>
          <w:rFonts w:asciiTheme="majorHAnsi" w:hAnsiTheme="majorHAnsi" w:cstheme="majorHAnsi"/>
          <w:i/>
          <w:sz w:val="28"/>
          <w:szCs w:val="28"/>
          <w:lang w:val="vi-VN"/>
        </w:rPr>
        <w:t>GTGT</w:t>
      </w:r>
      <w:r w:rsidRPr="006370BA">
        <w:rPr>
          <w:rFonts w:asciiTheme="majorHAnsi" w:hAnsiTheme="majorHAnsi" w:cstheme="majorHAnsi"/>
          <w:i/>
          <w:sz w:val="28"/>
          <w:szCs w:val="28"/>
          <w:lang w:val="nl-NL"/>
        </w:rPr>
        <w:t>)</w:t>
      </w:r>
      <w:r w:rsidRPr="006370BA">
        <w:rPr>
          <w:rFonts w:asciiTheme="majorHAnsi" w:hAnsiTheme="majorHAnsi" w:cstheme="majorHAnsi"/>
          <w:i/>
          <w:sz w:val="28"/>
          <w:szCs w:val="28"/>
          <w:lang w:val="vi-VN"/>
        </w:rPr>
        <w:t>, thuế</w:t>
      </w:r>
      <w:r w:rsidRPr="006370BA">
        <w:rPr>
          <w:rFonts w:asciiTheme="majorHAnsi" w:hAnsiTheme="majorHAnsi" w:cstheme="majorHAnsi"/>
          <w:i/>
          <w:sz w:val="28"/>
          <w:szCs w:val="28"/>
          <w:lang w:val="nl-NL"/>
        </w:rPr>
        <w:t xml:space="preserve"> thu nhập doanh nghiệp (</w:t>
      </w:r>
      <w:r w:rsidRPr="006370BA">
        <w:rPr>
          <w:rFonts w:asciiTheme="majorHAnsi" w:hAnsiTheme="majorHAnsi" w:cstheme="majorHAnsi"/>
          <w:i/>
          <w:sz w:val="28"/>
          <w:szCs w:val="28"/>
          <w:lang w:val="vi-VN"/>
        </w:rPr>
        <w:t>TNDN</w:t>
      </w:r>
      <w:r w:rsidRPr="006370BA">
        <w:rPr>
          <w:rFonts w:asciiTheme="majorHAnsi" w:hAnsiTheme="majorHAnsi" w:cstheme="majorHAnsi"/>
          <w:i/>
          <w:sz w:val="28"/>
          <w:szCs w:val="28"/>
          <w:lang w:val="nl-NL"/>
        </w:rPr>
        <w:t>)</w:t>
      </w:r>
    </w:p>
    <w:p w:rsidR="005204D7" w:rsidRPr="006370BA" w:rsidRDefault="005204D7" w:rsidP="005204D7">
      <w:pPr>
        <w:tabs>
          <w:tab w:val="left" w:pos="4153"/>
        </w:tabs>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Công ty kê khai thuế GTGT theo phương pháp khấu trừ định kỳ hằng quý; kê khai và quyết toán thuế TNDN, TNCN định kỳ hằng năm. Qua kiểm tra Công ty kê khai kịp thời, đúng mẫu biểu quy định. Tuy nhiên hằng quý chưa ước tính số thuế TNDN phải nộp để tạm nộp theo quy định.</w:t>
      </w:r>
    </w:p>
    <w:p w:rsidR="005204D7" w:rsidRPr="006370BA" w:rsidRDefault="005204D7" w:rsidP="005204D7">
      <w:pPr>
        <w:spacing w:before="120" w:after="120"/>
        <w:ind w:firstLine="709"/>
        <w:jc w:val="both"/>
        <w:rPr>
          <w:rFonts w:asciiTheme="majorHAnsi" w:hAnsiTheme="majorHAnsi" w:cstheme="majorHAnsi"/>
          <w:bCs/>
          <w:sz w:val="28"/>
          <w:szCs w:val="28"/>
          <w:lang w:val="vi-VN"/>
        </w:rPr>
      </w:pPr>
      <w:r w:rsidRPr="006370BA">
        <w:rPr>
          <w:rFonts w:asciiTheme="majorHAnsi" w:hAnsiTheme="majorHAnsi" w:cstheme="majorHAnsi"/>
          <w:sz w:val="28"/>
          <w:szCs w:val="28"/>
          <w:lang w:val="nl-NL"/>
        </w:rPr>
        <w:t xml:space="preserve">- Về doanh thu, thuế GTGT đầu ra: </w:t>
      </w:r>
      <w:r w:rsidRPr="006370BA">
        <w:rPr>
          <w:rFonts w:asciiTheme="majorHAnsi" w:hAnsiTheme="majorHAnsi" w:cstheme="majorHAnsi"/>
          <w:bCs/>
          <w:sz w:val="28"/>
          <w:szCs w:val="28"/>
          <w:lang w:val="vi-VN"/>
        </w:rPr>
        <w:t xml:space="preserve">Tổng doanh thu và thu nhập: </w:t>
      </w:r>
      <w:r w:rsidRPr="006370BA">
        <w:rPr>
          <w:rFonts w:asciiTheme="majorHAnsi" w:hAnsiTheme="majorHAnsi" w:cstheme="majorHAnsi"/>
          <w:sz w:val="28"/>
          <w:szCs w:val="28"/>
          <w:lang w:val="nl-NL"/>
        </w:rPr>
        <w:t xml:space="preserve">36.764.875.997 </w:t>
      </w:r>
      <w:r w:rsidRPr="006370BA">
        <w:rPr>
          <w:rFonts w:asciiTheme="majorHAnsi" w:hAnsiTheme="majorHAnsi" w:cstheme="majorHAnsi"/>
          <w:bCs/>
          <w:sz w:val="28"/>
          <w:szCs w:val="28"/>
          <w:lang w:val="vi-VN"/>
        </w:rPr>
        <w:t>đồng</w:t>
      </w:r>
      <w:r w:rsidRPr="006370BA">
        <w:rPr>
          <w:rFonts w:asciiTheme="majorHAnsi" w:hAnsiTheme="majorHAnsi" w:cstheme="majorHAnsi"/>
          <w:bCs/>
          <w:sz w:val="28"/>
          <w:szCs w:val="28"/>
          <w:lang w:val="nl-NL"/>
        </w:rPr>
        <w:t xml:space="preserve"> (chi tiết có bảng trên)</w:t>
      </w:r>
      <w:r w:rsidRPr="006370BA">
        <w:rPr>
          <w:rFonts w:asciiTheme="majorHAnsi" w:hAnsiTheme="majorHAnsi" w:cstheme="majorHAnsi"/>
          <w:bCs/>
          <w:sz w:val="28"/>
          <w:szCs w:val="28"/>
          <w:lang w:val="vi-VN"/>
        </w:rPr>
        <w:t xml:space="preserve">. Qua kiểm tra hồ sơ do Công ty cung cấp, đối chiếu với tiền phát sinh trên tài khoản ngân hàng, sổ tiền mặt, sổ theo dõi công nợ, Công ty hạch toán, phản ánh và kê khai doanh thu </w:t>
      </w:r>
      <w:r w:rsidRPr="006370BA">
        <w:rPr>
          <w:rFonts w:asciiTheme="majorHAnsi" w:hAnsiTheme="majorHAnsi" w:cstheme="majorHAnsi"/>
          <w:sz w:val="28"/>
          <w:szCs w:val="28"/>
          <w:lang w:val="nl-NL"/>
        </w:rPr>
        <w:t>không có chênh lệch với số liệu của Đoàn thanh tra.</w:t>
      </w:r>
    </w:p>
    <w:p w:rsidR="005204D7" w:rsidRPr="006370BA" w:rsidRDefault="005204D7" w:rsidP="005204D7">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t>- Về chi phí, thuế GTGT khấu trừ: Tổng chi phí: 36.667.155.840 đồng (chi tiế</w:t>
      </w:r>
      <w:r w:rsidR="001A6551">
        <w:rPr>
          <w:rFonts w:asciiTheme="majorHAnsi" w:hAnsiTheme="majorHAnsi" w:cstheme="majorHAnsi"/>
          <w:sz w:val="28"/>
          <w:szCs w:val="28"/>
          <w:lang w:val="nl-NL"/>
        </w:rPr>
        <w:t xml:space="preserve">t có bảng trên). Qua kiểm tra </w:t>
      </w:r>
      <w:r w:rsidRPr="006370BA">
        <w:rPr>
          <w:rFonts w:asciiTheme="majorHAnsi" w:hAnsiTheme="majorHAnsi" w:cstheme="majorHAnsi"/>
          <w:sz w:val="28"/>
          <w:szCs w:val="28"/>
          <w:lang w:val="nl-NL"/>
        </w:rPr>
        <w:t xml:space="preserve">các chi phí đã được tập hợp, phân bổ, hạch toán, kê khai cơ bản đảm bảo quy định. Tuy vậy như đã nêu ở </w:t>
      </w:r>
      <w:r w:rsidR="009A3564">
        <w:rPr>
          <w:rFonts w:asciiTheme="majorHAnsi" w:hAnsiTheme="majorHAnsi" w:cstheme="majorHAnsi"/>
          <w:sz w:val="28"/>
          <w:szCs w:val="28"/>
          <w:lang w:val="nl-NL"/>
        </w:rPr>
        <w:t>trên</w:t>
      </w:r>
      <w:r w:rsidRPr="006370BA">
        <w:rPr>
          <w:rFonts w:asciiTheme="majorHAnsi" w:hAnsiTheme="majorHAnsi" w:cstheme="majorHAnsi"/>
          <w:sz w:val="28"/>
          <w:szCs w:val="28"/>
          <w:lang w:val="nl-NL"/>
        </w:rPr>
        <w:t>, Công ty kết chuyển, hạch toán, kê khai tiền ký quỹ phục hồi môi trường 1.037.149.547 đồng vào chi phí quyết toán thuế t</w:t>
      </w:r>
      <w:r w:rsidR="001A6551">
        <w:rPr>
          <w:rFonts w:asciiTheme="majorHAnsi" w:hAnsiTheme="majorHAnsi" w:cstheme="majorHAnsi"/>
          <w:sz w:val="28"/>
          <w:szCs w:val="28"/>
          <w:lang w:val="nl-NL"/>
        </w:rPr>
        <w:t>rong kỳ là không đúng quy định.</w:t>
      </w:r>
      <w:r w:rsidR="00350A2D">
        <w:rPr>
          <w:rFonts w:asciiTheme="majorHAnsi" w:hAnsiTheme="majorHAnsi" w:cstheme="majorHAnsi"/>
          <w:sz w:val="28"/>
          <w:szCs w:val="28"/>
          <w:lang w:val="nl-NL"/>
        </w:rPr>
        <w:t xml:space="preserve"> </w:t>
      </w:r>
      <w:r w:rsidRPr="006370BA">
        <w:rPr>
          <w:rFonts w:asciiTheme="majorHAnsi" w:hAnsiTheme="majorHAnsi" w:cstheme="majorHAnsi"/>
          <w:sz w:val="28"/>
          <w:szCs w:val="28"/>
          <w:lang w:val="nl-NL"/>
        </w:rPr>
        <w:t>Đây là khoản tiền ký quỹ tại Quỹ bảo vệ môi trường để đảm bảo việc cải tạo, phục hồi môi trường; khi thời hạn khai thác của dự án kết thúc, Doanh nghiệp thực hiện đúng quy định được hoàn trả lại tiền ký quỹ, không phải là chi phí của doanh nghiệp.</w:t>
      </w:r>
    </w:p>
    <w:p w:rsidR="009E23B2" w:rsidRPr="00BF3E8F" w:rsidRDefault="00B24D2F" w:rsidP="00EC73DF">
      <w:pPr>
        <w:spacing w:before="120" w:after="120"/>
        <w:ind w:firstLine="709"/>
        <w:jc w:val="both"/>
        <w:rPr>
          <w:rFonts w:asciiTheme="majorHAnsi" w:hAnsiTheme="majorHAnsi" w:cstheme="majorHAnsi"/>
          <w:i/>
          <w:color w:val="000000"/>
          <w:sz w:val="28"/>
          <w:szCs w:val="28"/>
          <w:lang w:val="nl-NL"/>
        </w:rPr>
      </w:pPr>
      <w:r>
        <w:rPr>
          <w:rFonts w:asciiTheme="majorHAnsi" w:hAnsiTheme="majorHAnsi" w:cstheme="majorHAnsi"/>
          <w:i/>
          <w:color w:val="000000"/>
          <w:sz w:val="28"/>
          <w:szCs w:val="28"/>
          <w:lang w:val="vi-VN"/>
        </w:rPr>
        <w:t xml:space="preserve">* </w:t>
      </w:r>
      <w:r w:rsidR="004F372D" w:rsidRPr="00BF3E8F">
        <w:rPr>
          <w:rFonts w:asciiTheme="majorHAnsi" w:hAnsiTheme="majorHAnsi" w:cstheme="majorHAnsi"/>
          <w:i/>
          <w:color w:val="000000"/>
          <w:sz w:val="28"/>
          <w:szCs w:val="28"/>
          <w:lang w:val="nl-NL"/>
        </w:rPr>
        <w:t>Như vậy</w:t>
      </w:r>
      <w:r>
        <w:rPr>
          <w:rFonts w:asciiTheme="majorHAnsi" w:hAnsiTheme="majorHAnsi" w:cstheme="majorHAnsi"/>
          <w:i/>
          <w:color w:val="000000"/>
          <w:sz w:val="28"/>
          <w:szCs w:val="28"/>
          <w:lang w:val="vi-VN"/>
        </w:rPr>
        <w:t xml:space="preserve">: Năm 2020 số thuế TNDN Công ty kê khai thiếu </w:t>
      </w:r>
      <w:r w:rsidR="004F372D" w:rsidRPr="00BF3E8F">
        <w:rPr>
          <w:rFonts w:asciiTheme="majorHAnsi" w:hAnsiTheme="majorHAnsi" w:cstheme="majorHAnsi"/>
          <w:i/>
          <w:color w:val="000000"/>
          <w:sz w:val="28"/>
          <w:szCs w:val="28"/>
          <w:lang w:val="nl-NL"/>
        </w:rPr>
        <w:t>207.429.909</w:t>
      </w:r>
      <w:r w:rsidR="001A6551">
        <w:rPr>
          <w:rFonts w:asciiTheme="majorHAnsi" w:hAnsiTheme="majorHAnsi" w:cstheme="majorHAnsi"/>
          <w:i/>
          <w:color w:val="000000"/>
          <w:sz w:val="28"/>
          <w:szCs w:val="28"/>
          <w:lang w:val="nl-NL"/>
        </w:rPr>
        <w:t xml:space="preserve"> </w:t>
      </w:r>
      <w:r>
        <w:rPr>
          <w:rFonts w:asciiTheme="majorHAnsi" w:hAnsiTheme="majorHAnsi" w:cstheme="majorHAnsi"/>
          <w:i/>
          <w:color w:val="000000"/>
          <w:sz w:val="28"/>
          <w:szCs w:val="28"/>
          <w:lang w:val="vi-VN"/>
        </w:rPr>
        <w:t>đồng (</w:t>
      </w:r>
      <w:r w:rsidR="004F372D" w:rsidRPr="00BF3E8F">
        <w:rPr>
          <w:rFonts w:asciiTheme="majorHAnsi" w:hAnsiTheme="majorHAnsi" w:cstheme="majorHAnsi"/>
          <w:i/>
          <w:sz w:val="28"/>
          <w:szCs w:val="28"/>
          <w:lang w:val="nl-NL"/>
        </w:rPr>
        <w:t>1.037.149.547 x20%</w:t>
      </w:r>
      <w:r>
        <w:rPr>
          <w:rFonts w:asciiTheme="majorHAnsi" w:hAnsiTheme="majorHAnsi" w:cstheme="majorHAnsi"/>
          <w:i/>
          <w:color w:val="000000"/>
          <w:sz w:val="28"/>
          <w:szCs w:val="28"/>
          <w:lang w:val="vi-VN"/>
        </w:rPr>
        <w:t>).</w:t>
      </w:r>
    </w:p>
    <w:p w:rsidR="005204D7" w:rsidRPr="00BF3E8F" w:rsidRDefault="004F372D" w:rsidP="005204D7">
      <w:pPr>
        <w:spacing w:before="120" w:after="120"/>
        <w:ind w:firstLine="709"/>
        <w:jc w:val="both"/>
        <w:rPr>
          <w:rFonts w:asciiTheme="majorHAnsi" w:hAnsiTheme="majorHAnsi" w:cstheme="majorHAnsi"/>
          <w:b/>
          <w:bCs/>
          <w:i/>
          <w:sz w:val="28"/>
          <w:szCs w:val="28"/>
          <w:lang w:val="nl-NL" w:eastAsia="vi-VN"/>
        </w:rPr>
      </w:pPr>
      <w:r w:rsidRPr="00BF3E8F">
        <w:rPr>
          <w:rFonts w:asciiTheme="majorHAnsi" w:hAnsiTheme="majorHAnsi" w:cstheme="majorHAnsi"/>
          <w:bCs/>
          <w:i/>
          <w:sz w:val="28"/>
          <w:szCs w:val="28"/>
          <w:lang w:val="nl-NL" w:eastAsia="vi-VN"/>
        </w:rPr>
        <w:t>c)</w:t>
      </w:r>
      <w:r w:rsidR="001A6551">
        <w:rPr>
          <w:rFonts w:asciiTheme="majorHAnsi" w:hAnsiTheme="majorHAnsi" w:cstheme="majorHAnsi"/>
          <w:bCs/>
          <w:i/>
          <w:sz w:val="28"/>
          <w:szCs w:val="28"/>
          <w:lang w:val="nl-NL" w:eastAsia="vi-VN"/>
        </w:rPr>
        <w:t xml:space="preserve"> </w:t>
      </w:r>
      <w:r w:rsidRPr="00BF3E8F">
        <w:rPr>
          <w:rFonts w:asciiTheme="majorHAnsi" w:hAnsiTheme="majorHAnsi" w:cstheme="majorHAnsi"/>
          <w:bCs/>
          <w:i/>
          <w:sz w:val="28"/>
          <w:szCs w:val="28"/>
          <w:lang w:val="nl-NL" w:eastAsia="vi-VN"/>
        </w:rPr>
        <w:t>Về thuế tài nguyên, phí bảo vệ môi trường</w:t>
      </w:r>
    </w:p>
    <w:p w:rsidR="005204D7" w:rsidRPr="006370BA" w:rsidRDefault="005204D7" w:rsidP="005204D7">
      <w:pPr>
        <w:spacing w:before="120" w:after="120"/>
        <w:ind w:firstLine="709"/>
        <w:jc w:val="both"/>
        <w:rPr>
          <w:rFonts w:asciiTheme="majorHAnsi" w:hAnsiTheme="majorHAnsi" w:cstheme="majorHAnsi"/>
          <w:sz w:val="28"/>
          <w:szCs w:val="28"/>
          <w:lang w:val="nl-NL"/>
        </w:rPr>
      </w:pPr>
      <w:r w:rsidRPr="006370BA">
        <w:rPr>
          <w:rFonts w:asciiTheme="majorHAnsi" w:hAnsiTheme="majorHAnsi" w:cstheme="majorHAnsi"/>
          <w:sz w:val="28"/>
          <w:szCs w:val="28"/>
          <w:lang w:val="nl-NL"/>
        </w:rPr>
        <w:lastRenderedPageBreak/>
        <w:t>Công ty kê khai, quyết toán thuế tài nguyên, phí môi trường không có chênh lệch với số liệu của Đoàn thanh tra.</w:t>
      </w:r>
    </w:p>
    <w:p w:rsidR="00180AAF" w:rsidRPr="006370BA" w:rsidRDefault="004F372D" w:rsidP="005204D7">
      <w:pPr>
        <w:spacing w:before="120" w:after="120"/>
        <w:ind w:firstLine="709"/>
        <w:jc w:val="both"/>
        <w:rPr>
          <w:rFonts w:asciiTheme="majorHAnsi" w:hAnsiTheme="majorHAnsi" w:cstheme="majorHAnsi"/>
          <w:color w:val="000000"/>
          <w:sz w:val="28"/>
          <w:szCs w:val="28"/>
          <w:lang w:val="vi-VN"/>
        </w:rPr>
      </w:pPr>
      <w:r w:rsidRPr="00BF3E8F">
        <w:rPr>
          <w:rFonts w:asciiTheme="majorHAnsi" w:hAnsiTheme="majorHAnsi" w:cstheme="majorHAnsi"/>
          <w:i/>
          <w:sz w:val="28"/>
          <w:szCs w:val="28"/>
          <w:lang w:val="nl-NL"/>
        </w:rPr>
        <w:t>d</w:t>
      </w:r>
      <w:r w:rsidR="00180AAF" w:rsidRPr="006370BA">
        <w:rPr>
          <w:rFonts w:asciiTheme="majorHAnsi" w:hAnsiTheme="majorHAnsi" w:cstheme="majorHAnsi"/>
          <w:i/>
          <w:sz w:val="28"/>
          <w:szCs w:val="28"/>
          <w:lang w:val="vi-VN"/>
        </w:rPr>
        <w:t xml:space="preserve">) Về thuế </w:t>
      </w:r>
      <w:r w:rsidR="00180AAF" w:rsidRPr="006370BA">
        <w:rPr>
          <w:rFonts w:asciiTheme="majorHAnsi" w:hAnsiTheme="majorHAnsi" w:cstheme="majorHAnsi"/>
          <w:i/>
          <w:sz w:val="28"/>
          <w:szCs w:val="28"/>
          <w:lang w:val="nl-NL"/>
        </w:rPr>
        <w:t xml:space="preserve">thu nhập cá nhân </w:t>
      </w:r>
    </w:p>
    <w:p w:rsidR="00180AAF" w:rsidRPr="006370BA" w:rsidRDefault="00180AAF" w:rsidP="00EC73DF">
      <w:pPr>
        <w:spacing w:before="120" w:after="120"/>
        <w:ind w:firstLine="709"/>
        <w:jc w:val="both"/>
        <w:rPr>
          <w:rFonts w:asciiTheme="majorHAnsi" w:hAnsiTheme="majorHAnsi" w:cstheme="majorHAnsi"/>
          <w:sz w:val="28"/>
          <w:szCs w:val="28"/>
          <w:lang w:val="vi-VN"/>
        </w:rPr>
      </w:pPr>
      <w:r w:rsidRPr="006370BA">
        <w:rPr>
          <w:rFonts w:asciiTheme="majorHAnsi" w:hAnsiTheme="majorHAnsi" w:cstheme="majorHAnsi"/>
          <w:sz w:val="28"/>
          <w:szCs w:val="28"/>
          <w:lang w:val="vi-VN"/>
        </w:rPr>
        <w:t>Công ty đã kê khai, quyết toán thuế TNCN theo quy định</w:t>
      </w:r>
      <w:r w:rsidR="002A26B7" w:rsidRPr="006370BA">
        <w:rPr>
          <w:rFonts w:asciiTheme="majorHAnsi" w:hAnsiTheme="majorHAnsi" w:cstheme="majorHAnsi"/>
          <w:sz w:val="28"/>
          <w:szCs w:val="28"/>
          <w:lang w:val="vi-VN"/>
        </w:rPr>
        <w:t xml:space="preserve"> và không chênh lệch với số liệu Đoàn thanh tra</w:t>
      </w:r>
      <w:r w:rsidR="00D2019F" w:rsidRPr="006370BA">
        <w:rPr>
          <w:rFonts w:asciiTheme="majorHAnsi" w:hAnsiTheme="majorHAnsi" w:cstheme="majorHAnsi"/>
          <w:sz w:val="28"/>
          <w:szCs w:val="28"/>
          <w:lang w:val="vi-VN"/>
        </w:rPr>
        <w:t xml:space="preserve"> đã kiểm tra.</w:t>
      </w:r>
    </w:p>
    <w:p w:rsidR="004F372D" w:rsidRDefault="00FE5DDF">
      <w:pPr>
        <w:spacing w:before="120" w:after="120"/>
        <w:ind w:firstLine="709"/>
        <w:jc w:val="both"/>
        <w:rPr>
          <w:rFonts w:asciiTheme="majorHAnsi" w:hAnsiTheme="majorHAnsi" w:cstheme="majorHAnsi"/>
          <w:b/>
          <w:sz w:val="28"/>
          <w:szCs w:val="28"/>
          <w:lang w:val="pt-BR"/>
        </w:rPr>
      </w:pPr>
      <w:r w:rsidRPr="006370BA">
        <w:rPr>
          <w:rFonts w:asciiTheme="majorHAnsi" w:hAnsiTheme="majorHAnsi" w:cstheme="majorHAnsi"/>
          <w:b/>
          <w:sz w:val="28"/>
          <w:szCs w:val="28"/>
          <w:lang w:val="pt-BR"/>
        </w:rPr>
        <w:t>3. Thực hiện nghĩa vụ với người lao động</w:t>
      </w:r>
    </w:p>
    <w:p w:rsidR="007B368D" w:rsidRPr="00BF3E8F" w:rsidRDefault="004F372D" w:rsidP="002D6D87">
      <w:pPr>
        <w:spacing w:after="120"/>
        <w:ind w:firstLine="709"/>
        <w:jc w:val="both"/>
        <w:rPr>
          <w:rFonts w:asciiTheme="majorHAnsi" w:hAnsiTheme="majorHAnsi" w:cstheme="majorHAnsi"/>
          <w:b/>
          <w:i/>
          <w:sz w:val="28"/>
          <w:szCs w:val="28"/>
          <w:lang w:val="pt-BR"/>
        </w:rPr>
      </w:pPr>
      <w:r w:rsidRPr="00BF3E8F">
        <w:rPr>
          <w:rFonts w:asciiTheme="majorHAnsi" w:hAnsiTheme="majorHAnsi" w:cstheme="majorHAnsi"/>
          <w:b/>
          <w:i/>
          <w:sz w:val="28"/>
          <w:szCs w:val="28"/>
          <w:lang w:val="nl-NL"/>
        </w:rPr>
        <w:t>3.1.</w:t>
      </w:r>
      <w:r w:rsidR="004959E3">
        <w:rPr>
          <w:rFonts w:asciiTheme="majorHAnsi" w:hAnsiTheme="majorHAnsi" w:cstheme="majorHAnsi"/>
          <w:b/>
          <w:i/>
          <w:sz w:val="28"/>
          <w:szCs w:val="28"/>
          <w:lang w:val="nl-NL"/>
        </w:rPr>
        <w:t xml:space="preserve"> </w:t>
      </w:r>
      <w:r w:rsidRPr="00BF3E8F">
        <w:rPr>
          <w:rFonts w:asciiTheme="majorHAnsi" w:hAnsiTheme="majorHAnsi" w:cstheme="majorHAnsi"/>
          <w:b/>
          <w:i/>
          <w:sz w:val="28"/>
          <w:szCs w:val="28"/>
          <w:lang w:val="vi-VN"/>
        </w:rPr>
        <w:t>Chấp hành pháp luật về lao động và tiền lương</w:t>
      </w:r>
    </w:p>
    <w:p w:rsidR="004F372D" w:rsidRDefault="002A26B7">
      <w:pPr>
        <w:spacing w:before="120" w:after="120"/>
        <w:ind w:firstLine="709"/>
        <w:jc w:val="both"/>
        <w:rPr>
          <w:rFonts w:asciiTheme="majorHAnsi" w:hAnsiTheme="majorHAnsi" w:cstheme="majorHAnsi"/>
          <w:sz w:val="28"/>
          <w:szCs w:val="28"/>
          <w:lang w:val="pt-BR"/>
        </w:rPr>
      </w:pPr>
      <w:r w:rsidRPr="006370BA">
        <w:rPr>
          <w:rFonts w:asciiTheme="majorHAnsi" w:hAnsiTheme="majorHAnsi" w:cstheme="majorHAnsi"/>
          <w:sz w:val="28"/>
          <w:szCs w:val="28"/>
          <w:lang w:val="pt-BR"/>
        </w:rPr>
        <w:t>Thời kỳ thanh tra (n</w:t>
      </w:r>
      <w:r w:rsidR="00A51BC3" w:rsidRPr="006370BA">
        <w:rPr>
          <w:rFonts w:asciiTheme="majorHAnsi" w:hAnsiTheme="majorHAnsi" w:cstheme="majorHAnsi"/>
          <w:sz w:val="28"/>
          <w:szCs w:val="28"/>
          <w:lang w:val="vi-VN"/>
        </w:rPr>
        <w:t>ăm 201</w:t>
      </w:r>
      <w:r w:rsidRPr="006370BA">
        <w:rPr>
          <w:rFonts w:asciiTheme="majorHAnsi" w:hAnsiTheme="majorHAnsi" w:cstheme="majorHAnsi"/>
          <w:sz w:val="28"/>
          <w:szCs w:val="28"/>
          <w:lang w:val="pt-BR"/>
        </w:rPr>
        <w:t>9</w:t>
      </w:r>
      <w:r w:rsidR="00A51BC3" w:rsidRPr="006370BA">
        <w:rPr>
          <w:rFonts w:asciiTheme="majorHAnsi" w:hAnsiTheme="majorHAnsi" w:cstheme="majorHAnsi"/>
          <w:sz w:val="28"/>
          <w:szCs w:val="28"/>
          <w:lang w:val="vi-VN"/>
        </w:rPr>
        <w:t>, 20</w:t>
      </w:r>
      <w:r w:rsidRPr="006370BA">
        <w:rPr>
          <w:rFonts w:asciiTheme="majorHAnsi" w:hAnsiTheme="majorHAnsi" w:cstheme="majorHAnsi"/>
          <w:sz w:val="28"/>
          <w:szCs w:val="28"/>
          <w:lang w:val="pt-BR"/>
        </w:rPr>
        <w:t>20),</w:t>
      </w:r>
      <w:r w:rsidR="00350A2D">
        <w:rPr>
          <w:rFonts w:asciiTheme="majorHAnsi" w:hAnsiTheme="majorHAnsi" w:cstheme="majorHAnsi"/>
          <w:sz w:val="28"/>
          <w:szCs w:val="28"/>
          <w:lang w:val="pt-BR"/>
        </w:rPr>
        <w:t xml:space="preserve"> </w:t>
      </w:r>
      <w:r w:rsidR="007B368D" w:rsidRPr="006370BA">
        <w:rPr>
          <w:rFonts w:asciiTheme="majorHAnsi" w:hAnsiTheme="majorHAnsi" w:cstheme="majorHAnsi"/>
          <w:sz w:val="28"/>
          <w:szCs w:val="28"/>
          <w:lang w:val="vi-VN"/>
        </w:rPr>
        <w:t>Công ty ký hợp đồng</w:t>
      </w:r>
      <w:r w:rsidR="004F372D" w:rsidRPr="00BF3E8F">
        <w:rPr>
          <w:rFonts w:asciiTheme="majorHAnsi" w:hAnsiTheme="majorHAnsi" w:cstheme="majorHAnsi"/>
          <w:sz w:val="28"/>
          <w:szCs w:val="28"/>
          <w:lang w:val="pt-BR"/>
        </w:rPr>
        <w:t xml:space="preserve"> với</w:t>
      </w:r>
      <w:r w:rsidR="001A6551">
        <w:rPr>
          <w:rFonts w:asciiTheme="majorHAnsi" w:hAnsiTheme="majorHAnsi" w:cstheme="majorHAnsi"/>
          <w:sz w:val="28"/>
          <w:szCs w:val="28"/>
          <w:lang w:val="pt-BR"/>
        </w:rPr>
        <w:t xml:space="preserve"> </w:t>
      </w:r>
      <w:r w:rsidR="004F372D" w:rsidRPr="00BF3E8F">
        <w:rPr>
          <w:rFonts w:asciiTheme="majorHAnsi" w:hAnsiTheme="majorHAnsi" w:cstheme="majorHAnsi"/>
          <w:sz w:val="28"/>
          <w:szCs w:val="28"/>
          <w:lang w:val="pt-BR"/>
        </w:rPr>
        <w:t>19</w:t>
      </w:r>
      <w:r w:rsidR="007B368D" w:rsidRPr="006370BA">
        <w:rPr>
          <w:rFonts w:asciiTheme="majorHAnsi" w:hAnsiTheme="majorHAnsi" w:cstheme="majorHAnsi"/>
          <w:sz w:val="28"/>
          <w:szCs w:val="28"/>
          <w:lang w:val="vi-VN"/>
        </w:rPr>
        <w:t xml:space="preserve"> lao động</w:t>
      </w:r>
      <w:r w:rsidR="004F372D" w:rsidRPr="00BF3E8F">
        <w:rPr>
          <w:rFonts w:asciiTheme="majorHAnsi" w:hAnsiTheme="majorHAnsi" w:cstheme="majorHAnsi"/>
          <w:sz w:val="28"/>
          <w:szCs w:val="28"/>
          <w:lang w:val="pt-BR"/>
        </w:rPr>
        <w:t xml:space="preserve"> (</w:t>
      </w:r>
      <w:r w:rsidR="007B368D" w:rsidRPr="006370BA">
        <w:rPr>
          <w:rFonts w:asciiTheme="majorHAnsi" w:hAnsiTheme="majorHAnsi" w:cstheme="majorHAnsi"/>
          <w:sz w:val="28"/>
          <w:szCs w:val="28"/>
          <w:lang w:val="nl-NL"/>
        </w:rPr>
        <w:t>15 người với hình thức hợp đồng lao động không xác định thời hạn, 02 người ký hợp đồng ngắn hạn dưới 1 tháng, 02 người lao động thời vụ theo giao khoán công việc)</w:t>
      </w:r>
      <w:r w:rsidR="00A51BC3" w:rsidRPr="006370BA">
        <w:rPr>
          <w:rFonts w:asciiTheme="majorHAnsi" w:hAnsiTheme="majorHAnsi" w:cstheme="majorHAnsi"/>
          <w:sz w:val="28"/>
          <w:szCs w:val="28"/>
          <w:lang w:val="vi-VN"/>
        </w:rPr>
        <w:t>.</w:t>
      </w:r>
    </w:p>
    <w:p w:rsidR="00FE5DDF" w:rsidRPr="00BF3E8F" w:rsidRDefault="004F372D" w:rsidP="002D6D87">
      <w:pPr>
        <w:spacing w:before="120" w:after="120"/>
        <w:ind w:firstLine="709"/>
        <w:jc w:val="both"/>
        <w:rPr>
          <w:rFonts w:asciiTheme="majorHAnsi" w:hAnsiTheme="majorHAnsi" w:cstheme="majorHAnsi"/>
          <w:i/>
          <w:sz w:val="28"/>
          <w:szCs w:val="28"/>
          <w:lang w:val="nl-NL"/>
        </w:rPr>
      </w:pPr>
      <w:r w:rsidRPr="00BF3E8F">
        <w:rPr>
          <w:rFonts w:asciiTheme="majorHAnsi" w:hAnsiTheme="majorHAnsi" w:cstheme="majorHAnsi"/>
          <w:i/>
          <w:sz w:val="28"/>
          <w:szCs w:val="28"/>
          <w:lang w:val="pt-BR"/>
        </w:rPr>
        <w:t xml:space="preserve">a) </w:t>
      </w:r>
      <w:r w:rsidRPr="00BF3E8F">
        <w:rPr>
          <w:rFonts w:asciiTheme="majorHAnsi" w:hAnsiTheme="majorHAnsi" w:cstheme="majorHAnsi"/>
          <w:i/>
          <w:sz w:val="28"/>
          <w:szCs w:val="28"/>
          <w:lang w:val="nl-NL"/>
        </w:rPr>
        <w:t>Về hợp đồng lao động</w:t>
      </w:r>
    </w:p>
    <w:p w:rsidR="00104FD7" w:rsidRPr="006370BA" w:rsidRDefault="001A6551" w:rsidP="002D6D87">
      <w:pPr>
        <w:pStyle w:val="tit"/>
        <w:spacing w:before="120" w:after="120"/>
        <w:ind w:firstLine="709"/>
        <w:jc w:val="both"/>
        <w:rPr>
          <w:rFonts w:asciiTheme="majorHAnsi" w:hAnsiTheme="majorHAnsi" w:cstheme="majorHAnsi"/>
          <w:b w:val="0"/>
          <w:bCs w:val="0"/>
          <w:sz w:val="28"/>
          <w:szCs w:val="28"/>
          <w:lang w:val="pt-BR"/>
        </w:rPr>
      </w:pPr>
      <w:r>
        <w:rPr>
          <w:rFonts w:asciiTheme="majorHAnsi" w:hAnsiTheme="majorHAnsi" w:cstheme="majorHAnsi"/>
          <w:b w:val="0"/>
          <w:bCs w:val="0"/>
          <w:sz w:val="28"/>
          <w:szCs w:val="28"/>
          <w:lang w:val="pt-BR"/>
        </w:rPr>
        <w:t xml:space="preserve">Mẫu hợp </w:t>
      </w:r>
      <w:r w:rsidR="007B368D" w:rsidRPr="006370BA">
        <w:rPr>
          <w:rFonts w:asciiTheme="majorHAnsi" w:hAnsiTheme="majorHAnsi" w:cstheme="majorHAnsi"/>
          <w:b w:val="0"/>
          <w:bCs w:val="0"/>
          <w:sz w:val="28"/>
          <w:szCs w:val="28"/>
          <w:lang w:val="pt-BR"/>
        </w:rPr>
        <w:t xml:space="preserve">đồng lao động đang thực hiện mẫu cũ theo Thông tư số 21/2003/TT ngày 22/9/2003 của Bộ LĐ-TB&amp;XH; </w:t>
      </w:r>
      <w:r w:rsidR="00350A2D">
        <w:rPr>
          <w:rFonts w:asciiTheme="majorHAnsi" w:hAnsiTheme="majorHAnsi" w:cstheme="majorHAnsi"/>
          <w:b w:val="0"/>
          <w:bCs w:val="0"/>
          <w:sz w:val="28"/>
          <w:szCs w:val="28"/>
          <w:lang w:val="pt-BR"/>
        </w:rPr>
        <w:t>l</w:t>
      </w:r>
      <w:r w:rsidR="007B368D" w:rsidRPr="006370BA">
        <w:rPr>
          <w:rFonts w:asciiTheme="majorHAnsi" w:hAnsiTheme="majorHAnsi" w:cstheme="majorHAnsi"/>
          <w:b w:val="0"/>
          <w:bCs w:val="0"/>
          <w:sz w:val="28"/>
          <w:szCs w:val="28"/>
          <w:lang w:val="pt-BR"/>
        </w:rPr>
        <w:t xml:space="preserve">oại hợp đồng công ty đang ghi là dài hạn, ngắn hạn là không đúng theo Điều 22 Luật Bộ luật lao động 2012 quy định về loại hợp đồng lao động; </w:t>
      </w:r>
      <w:r w:rsidR="00350A2D">
        <w:rPr>
          <w:rFonts w:asciiTheme="majorHAnsi" w:hAnsiTheme="majorHAnsi" w:cstheme="majorHAnsi"/>
          <w:b w:val="0"/>
          <w:bCs w:val="0"/>
          <w:sz w:val="28"/>
          <w:szCs w:val="28"/>
          <w:lang w:val="pt-BR"/>
        </w:rPr>
        <w:t>k</w:t>
      </w:r>
      <w:r w:rsidR="007B368D" w:rsidRPr="006370BA">
        <w:rPr>
          <w:rFonts w:asciiTheme="majorHAnsi" w:hAnsiTheme="majorHAnsi" w:cstheme="majorHAnsi"/>
          <w:b w:val="0"/>
          <w:bCs w:val="0"/>
          <w:sz w:val="28"/>
          <w:szCs w:val="28"/>
          <w:lang w:val="pt-BR"/>
        </w:rPr>
        <w:t>ý hợp đồng lao động thời vụ giao khoán công việc nhưng có tính chất lặp đi lặp lại với 2 đối tượng</w:t>
      </w:r>
      <w:r w:rsidR="00D2019F" w:rsidRPr="006370BA">
        <w:rPr>
          <w:rFonts w:asciiTheme="majorHAnsi" w:hAnsiTheme="majorHAnsi" w:cstheme="majorHAnsi"/>
          <w:b w:val="0"/>
          <w:bCs w:val="0"/>
          <w:sz w:val="28"/>
          <w:szCs w:val="28"/>
          <w:lang w:val="pt-BR"/>
        </w:rPr>
        <w:t>.</w:t>
      </w:r>
    </w:p>
    <w:p w:rsidR="00FE5DDF" w:rsidRPr="00BF3E8F" w:rsidRDefault="004F372D" w:rsidP="002D6D87">
      <w:pPr>
        <w:tabs>
          <w:tab w:val="left" w:pos="6273"/>
        </w:tabs>
        <w:spacing w:before="120" w:after="120"/>
        <w:ind w:firstLine="709"/>
        <w:jc w:val="both"/>
        <w:rPr>
          <w:rFonts w:asciiTheme="majorHAnsi" w:hAnsiTheme="majorHAnsi" w:cstheme="majorHAnsi"/>
          <w:i/>
          <w:sz w:val="28"/>
          <w:szCs w:val="28"/>
          <w:lang w:val="nl-NL"/>
        </w:rPr>
      </w:pPr>
      <w:r w:rsidRPr="00BF3E8F">
        <w:rPr>
          <w:rFonts w:asciiTheme="majorHAnsi" w:hAnsiTheme="majorHAnsi" w:cstheme="majorHAnsi"/>
          <w:i/>
          <w:sz w:val="28"/>
          <w:szCs w:val="28"/>
          <w:lang w:val="nl-NL"/>
        </w:rPr>
        <w:t xml:space="preserve">b) </w:t>
      </w:r>
      <w:r w:rsidRPr="00BF3E8F">
        <w:rPr>
          <w:rFonts w:asciiTheme="majorHAnsi" w:hAnsiTheme="majorHAnsi" w:cstheme="majorHAnsi"/>
          <w:i/>
          <w:sz w:val="28"/>
          <w:szCs w:val="28"/>
          <w:lang w:val="vi-VN"/>
        </w:rPr>
        <w:t>Về chấp hành các quy định về quản lý lao động và tiền lương</w:t>
      </w:r>
      <w:r w:rsidRPr="00BF3E8F">
        <w:rPr>
          <w:rFonts w:asciiTheme="majorHAnsi" w:hAnsiTheme="majorHAnsi" w:cstheme="majorHAnsi"/>
          <w:i/>
          <w:sz w:val="28"/>
          <w:szCs w:val="28"/>
          <w:lang w:val="nl-NL"/>
        </w:rPr>
        <w:tab/>
      </w:r>
    </w:p>
    <w:p w:rsidR="002A3D30" w:rsidRPr="006370BA" w:rsidRDefault="007B368D" w:rsidP="002D6D87">
      <w:pPr>
        <w:pStyle w:val="tit"/>
        <w:spacing w:before="120" w:after="120"/>
        <w:ind w:firstLine="709"/>
        <w:jc w:val="both"/>
        <w:rPr>
          <w:rFonts w:asciiTheme="majorHAnsi" w:hAnsiTheme="majorHAnsi" w:cstheme="majorHAnsi"/>
          <w:b w:val="0"/>
          <w:bCs w:val="0"/>
          <w:sz w:val="28"/>
          <w:szCs w:val="28"/>
          <w:lang w:val="pt-BR"/>
        </w:rPr>
      </w:pPr>
      <w:r w:rsidRPr="006370BA">
        <w:rPr>
          <w:rFonts w:asciiTheme="majorHAnsi" w:hAnsiTheme="majorHAnsi" w:cstheme="majorHAnsi"/>
          <w:b w:val="0"/>
          <w:bCs w:val="0"/>
          <w:sz w:val="28"/>
          <w:szCs w:val="28"/>
          <w:lang w:val="pt-BR"/>
        </w:rPr>
        <w:t>Công ty tạo việc làm cho hơn 19 người lao động, thực hiện chi trả lương, thưởng và các chế độ chính sách cho người lao động đầy đủ và kịp thời. Đã xây dựng thang bảng lương theo quy định của Điều 93, Bộ luật Lao động năm 2012. Tuy vậy: Công ty chưa thực hiện báo cáo tình hình sử dụng lao động gửi Phòng LĐ-TB&amp;XH huyện Can Lộc theo quy định tại Khoản 2, Điều 6, Thông tư số 23/2014/TT-BLĐTBXH ngày 29/8/2014 của Bộ LĐ-TB&amp;XH; chưa thực hiện việc lập, quản lý và sử dụng sổ quản lý lao động theo quy định tại Điều 7, Thông tư số 23/2014/TT-BLĐTBXH ngày 29/8/2014</w:t>
      </w:r>
      <w:r w:rsidRPr="00A15C6D">
        <w:rPr>
          <w:rFonts w:asciiTheme="majorHAnsi" w:hAnsiTheme="majorHAnsi" w:cstheme="majorHAnsi"/>
          <w:b w:val="0"/>
          <w:bCs w:val="0"/>
          <w:sz w:val="28"/>
          <w:szCs w:val="28"/>
          <w:vertAlign w:val="superscript"/>
          <w:lang w:val="pt-BR"/>
        </w:rPr>
        <w:footnoteReference w:id="4"/>
      </w:r>
      <w:r w:rsidRPr="006370BA">
        <w:rPr>
          <w:rFonts w:asciiTheme="majorHAnsi" w:hAnsiTheme="majorHAnsi" w:cstheme="majorHAnsi"/>
          <w:b w:val="0"/>
          <w:bCs w:val="0"/>
          <w:sz w:val="28"/>
          <w:szCs w:val="28"/>
          <w:lang w:val="pt-BR"/>
        </w:rPr>
        <w:t xml:space="preserve"> của Bộ LĐ-TB&amp;XH; chưa thực hiện việc thỏa ước lao động tập thể, tổ chức hội nghị người lao động theo quy định tại Khoản 2, điều 14, Nghị định số 60/2013/NĐ-CP ngày 19/6/2013 về quy định chi tiết khoản 3, Điều 63, Bộ luật Lao động năm 2012 về thực hiện quy chế dân chủ ở cơ sở tại nơi làm việc; </w:t>
      </w:r>
      <w:r w:rsidR="008232A3">
        <w:rPr>
          <w:rFonts w:asciiTheme="majorHAnsi" w:hAnsiTheme="majorHAnsi" w:cstheme="majorHAnsi"/>
          <w:b w:val="0"/>
          <w:bCs w:val="0"/>
          <w:sz w:val="28"/>
          <w:szCs w:val="28"/>
          <w:lang w:val="pt-BR"/>
        </w:rPr>
        <w:t>c</w:t>
      </w:r>
      <w:r w:rsidRPr="006370BA">
        <w:rPr>
          <w:rFonts w:asciiTheme="majorHAnsi" w:hAnsiTheme="majorHAnsi" w:cstheme="majorHAnsi"/>
          <w:b w:val="0"/>
          <w:bCs w:val="0"/>
          <w:sz w:val="28"/>
          <w:szCs w:val="28"/>
          <w:lang w:val="pt-BR"/>
        </w:rPr>
        <w:t>hưa thực hiện tổ chức khám sức khỏe định kỳ cho người lao động theo quy định tại Điều 152 Bộ luật Lao động năm 2012</w:t>
      </w:r>
      <w:r w:rsidR="00D2019F" w:rsidRPr="006370BA">
        <w:rPr>
          <w:rFonts w:asciiTheme="majorHAnsi" w:hAnsiTheme="majorHAnsi" w:cstheme="majorHAnsi"/>
          <w:b w:val="0"/>
          <w:bCs w:val="0"/>
          <w:sz w:val="28"/>
          <w:szCs w:val="28"/>
          <w:lang w:val="pt-BR"/>
        </w:rPr>
        <w:t>.</w:t>
      </w:r>
    </w:p>
    <w:p w:rsidR="007B368D" w:rsidRPr="00BF3E8F" w:rsidRDefault="004F372D" w:rsidP="002D6D87">
      <w:pPr>
        <w:tabs>
          <w:tab w:val="left" w:pos="6273"/>
        </w:tabs>
        <w:spacing w:after="120"/>
        <w:ind w:firstLine="709"/>
        <w:jc w:val="both"/>
        <w:rPr>
          <w:rFonts w:asciiTheme="majorHAnsi" w:hAnsiTheme="majorHAnsi" w:cstheme="majorHAnsi"/>
          <w:b/>
          <w:i/>
          <w:sz w:val="28"/>
          <w:szCs w:val="28"/>
          <w:lang w:val="nl-NL"/>
        </w:rPr>
      </w:pPr>
      <w:r w:rsidRPr="00BF3E8F">
        <w:rPr>
          <w:rFonts w:asciiTheme="majorHAnsi" w:hAnsiTheme="majorHAnsi" w:cstheme="majorHAnsi"/>
          <w:b/>
          <w:i/>
          <w:sz w:val="28"/>
          <w:szCs w:val="28"/>
          <w:lang w:val="nl-NL"/>
        </w:rPr>
        <w:t>3.2.</w:t>
      </w:r>
      <w:r w:rsidR="004959E3">
        <w:rPr>
          <w:rFonts w:asciiTheme="majorHAnsi" w:hAnsiTheme="majorHAnsi" w:cstheme="majorHAnsi"/>
          <w:b/>
          <w:i/>
          <w:sz w:val="28"/>
          <w:szCs w:val="28"/>
          <w:lang w:val="nl-NL"/>
        </w:rPr>
        <w:t xml:space="preserve"> </w:t>
      </w:r>
      <w:r w:rsidRPr="00BF3E8F">
        <w:rPr>
          <w:rFonts w:asciiTheme="majorHAnsi" w:hAnsiTheme="majorHAnsi" w:cstheme="majorHAnsi"/>
          <w:b/>
          <w:i/>
          <w:sz w:val="28"/>
          <w:szCs w:val="28"/>
          <w:lang w:val="nl-NL"/>
        </w:rPr>
        <w:t>Chấp hành các chính sách về bảo hiểm bắt buộc</w:t>
      </w:r>
    </w:p>
    <w:p w:rsidR="007B368D" w:rsidRPr="00216CB6" w:rsidRDefault="007B368D" w:rsidP="002D6D87">
      <w:pPr>
        <w:pStyle w:val="tit"/>
        <w:spacing w:before="120" w:after="120"/>
        <w:ind w:firstLine="709"/>
        <w:jc w:val="both"/>
        <w:rPr>
          <w:rFonts w:asciiTheme="majorHAnsi" w:hAnsiTheme="majorHAnsi" w:cstheme="majorHAnsi"/>
          <w:b w:val="0"/>
          <w:bCs w:val="0"/>
          <w:sz w:val="28"/>
          <w:szCs w:val="28"/>
          <w:lang w:val="pt-BR"/>
        </w:rPr>
      </w:pPr>
      <w:r w:rsidRPr="006370BA">
        <w:rPr>
          <w:rFonts w:asciiTheme="majorHAnsi" w:hAnsiTheme="majorHAnsi" w:cstheme="majorHAnsi"/>
          <w:b w:val="0"/>
          <w:sz w:val="28"/>
          <w:szCs w:val="28"/>
          <w:lang w:val="nl-NL"/>
        </w:rPr>
        <w:t xml:space="preserve">Trong các năm 2019, 2020 theo hợp đồng lao động Công ty, người lao động đã được tham gia bảo hiểm xã hội bắt buộc và thực hiện việc trích đóng tiền bảo </w:t>
      </w:r>
      <w:r w:rsidRPr="00216CB6">
        <w:rPr>
          <w:rFonts w:asciiTheme="majorHAnsi" w:hAnsiTheme="majorHAnsi" w:cstheme="majorHAnsi"/>
          <w:b w:val="0"/>
          <w:sz w:val="28"/>
          <w:szCs w:val="28"/>
          <w:lang w:val="nl-NL"/>
        </w:rPr>
        <w:t xml:space="preserve">hiểm xã hội cho các lao động theo tỷ lệ quy định (doanh nghiệp đóng 21,5%; người lao động đóng 10,5%). Mức lương đóng bảo hiểm được thực hiện lớn hơn mức tối thiểu </w:t>
      </w:r>
      <w:r w:rsidR="008232A3">
        <w:rPr>
          <w:rFonts w:asciiTheme="majorHAnsi" w:hAnsiTheme="majorHAnsi" w:cstheme="majorHAnsi"/>
          <w:b w:val="0"/>
          <w:sz w:val="28"/>
          <w:szCs w:val="28"/>
          <w:lang w:val="nl-NL"/>
        </w:rPr>
        <w:t xml:space="preserve">vùng </w:t>
      </w:r>
      <w:r w:rsidRPr="00216CB6">
        <w:rPr>
          <w:rFonts w:asciiTheme="majorHAnsi" w:hAnsiTheme="majorHAnsi" w:cstheme="majorHAnsi"/>
          <w:b w:val="0"/>
          <w:sz w:val="28"/>
          <w:szCs w:val="28"/>
          <w:lang w:val="nl-NL"/>
        </w:rPr>
        <w:t xml:space="preserve">được quy định </w:t>
      </w:r>
      <w:r w:rsidRPr="00216CB6">
        <w:rPr>
          <w:rFonts w:asciiTheme="majorHAnsi" w:hAnsiTheme="majorHAnsi" w:cstheme="majorHAnsi"/>
          <w:b w:val="0"/>
          <w:sz w:val="28"/>
          <w:szCs w:val="28"/>
          <w:shd w:val="clear" w:color="auto" w:fill="FFFFFF"/>
          <w:lang w:val="nl-NL"/>
        </w:rPr>
        <w:t xml:space="preserve">tại khoản 2 và khoản 3, Điều 6, Quyết định 595/QĐ-BHXH ngày 14/4/2017 của Bảo hiểm xã hội Việt Nam, tuy vậy, do </w:t>
      </w:r>
      <w:r w:rsidRPr="00216CB6">
        <w:rPr>
          <w:rFonts w:asciiTheme="majorHAnsi" w:hAnsiTheme="majorHAnsi" w:cstheme="majorHAnsi"/>
          <w:b w:val="0"/>
          <w:sz w:val="28"/>
          <w:szCs w:val="28"/>
          <w:lang w:val="nl-NL"/>
        </w:rPr>
        <w:t xml:space="preserve">một </w:t>
      </w:r>
      <w:r w:rsidRPr="00216CB6">
        <w:rPr>
          <w:rFonts w:asciiTheme="majorHAnsi" w:hAnsiTheme="majorHAnsi" w:cstheme="majorHAnsi"/>
          <w:b w:val="0"/>
          <w:sz w:val="28"/>
          <w:szCs w:val="28"/>
          <w:lang w:val="nl-NL"/>
        </w:rPr>
        <w:lastRenderedPageBreak/>
        <w:t>phần lớn thu nhập của người lao động là các khoản phụ cấp không thuộc tiền lương đóng bảo hiểm bắt buộc nên lương đóng bảo hiểm</w:t>
      </w:r>
      <w:r w:rsidR="001A6551">
        <w:rPr>
          <w:rFonts w:asciiTheme="majorHAnsi" w:hAnsiTheme="majorHAnsi" w:cstheme="majorHAnsi"/>
          <w:b w:val="0"/>
          <w:sz w:val="28"/>
          <w:szCs w:val="28"/>
          <w:lang w:val="nl-NL"/>
        </w:rPr>
        <w:t xml:space="preserve"> </w:t>
      </w:r>
      <w:r w:rsidRPr="00216CB6">
        <w:rPr>
          <w:rFonts w:asciiTheme="majorHAnsi" w:hAnsiTheme="majorHAnsi" w:cstheme="majorHAnsi"/>
          <w:b w:val="0"/>
          <w:sz w:val="28"/>
          <w:szCs w:val="28"/>
          <w:lang w:val="nl-NL"/>
        </w:rPr>
        <w:t>chưa sát với thu nhập thực nhận của người lao động. Ngoài ra có 6 lao động</w:t>
      </w:r>
      <w:r w:rsidRPr="00216CB6">
        <w:rPr>
          <w:rStyle w:val="FootnoteReference"/>
          <w:rFonts w:asciiTheme="majorHAnsi" w:hAnsiTheme="majorHAnsi" w:cstheme="majorHAnsi"/>
          <w:b w:val="0"/>
          <w:sz w:val="28"/>
          <w:szCs w:val="28"/>
          <w:lang w:val="nl-NL"/>
        </w:rPr>
        <w:footnoteReference w:id="5"/>
      </w:r>
      <w:r w:rsidRPr="00216CB6">
        <w:rPr>
          <w:rFonts w:asciiTheme="majorHAnsi" w:hAnsiTheme="majorHAnsi" w:cstheme="majorHAnsi"/>
          <w:b w:val="0"/>
          <w:sz w:val="28"/>
          <w:szCs w:val="28"/>
          <w:lang w:val="nl-NL"/>
        </w:rPr>
        <w:t xml:space="preserve"> không tham gia BHXH, trong đó có 02 lao động là đối tượng hưu trí không phải tham gia bảo hiểm bắt buộc, còn 04 lao động theo Luật Bảo hiểm xã hội 2014 và Nghị định 143/2018/NĐ-CP là đối tượng bắt buộc tham gia bảo hiểm</w:t>
      </w:r>
      <w:r w:rsidR="001E4C93" w:rsidRPr="00216CB6">
        <w:rPr>
          <w:rFonts w:asciiTheme="majorHAnsi" w:hAnsiTheme="majorHAnsi" w:cstheme="majorHAnsi"/>
          <w:b w:val="0"/>
          <w:sz w:val="28"/>
          <w:szCs w:val="28"/>
          <w:lang w:val="nl-NL"/>
        </w:rPr>
        <w:t>.</w:t>
      </w:r>
    </w:p>
    <w:p w:rsidR="007B368D" w:rsidRPr="00BF3E8F" w:rsidRDefault="004F372D" w:rsidP="002D6D87">
      <w:pPr>
        <w:tabs>
          <w:tab w:val="left" w:pos="567"/>
        </w:tabs>
        <w:spacing w:after="120"/>
        <w:ind w:firstLine="709"/>
        <w:jc w:val="both"/>
        <w:rPr>
          <w:rFonts w:asciiTheme="majorHAnsi" w:hAnsiTheme="majorHAnsi" w:cstheme="majorHAnsi"/>
          <w:b/>
          <w:i/>
          <w:sz w:val="28"/>
          <w:szCs w:val="28"/>
          <w:lang w:val="nl-NL"/>
        </w:rPr>
      </w:pPr>
      <w:r w:rsidRPr="00BF3E8F">
        <w:rPr>
          <w:rFonts w:asciiTheme="majorHAnsi" w:hAnsiTheme="majorHAnsi" w:cstheme="majorHAnsi"/>
          <w:b/>
          <w:i/>
          <w:sz w:val="28"/>
          <w:szCs w:val="28"/>
          <w:lang w:val="nl-NL"/>
        </w:rPr>
        <w:t>3.3. Thực hiện nghĩa vụ công đoàn</w:t>
      </w:r>
    </w:p>
    <w:p w:rsidR="001E4C93" w:rsidRPr="00216CB6" w:rsidRDefault="001E4C93"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Công ty đã thành lập Tổ chức công đoàn thuộc Liên đoàn lao động huyện Can Lộc. Hằng năm đã thực hiện việc trích lập KPCĐ theo tỷ lệ 2% quỹ lương đóng BHXH, BHYT, BHTN </w:t>
      </w:r>
      <w:r w:rsidRPr="00216CB6">
        <w:rPr>
          <w:rFonts w:asciiTheme="majorHAnsi" w:hAnsiTheme="majorHAnsi" w:cstheme="majorHAnsi"/>
          <w:sz w:val="28"/>
          <w:szCs w:val="28"/>
          <w:lang w:val="vi-VN"/>
        </w:rPr>
        <w:t xml:space="preserve">theo quy định tại Điều 5, Nghị định số 191/2013/NĐ-CP ngày 21/11/2013 của Chính phủ </w:t>
      </w:r>
      <w:r w:rsidRPr="00216CB6">
        <w:rPr>
          <w:rFonts w:asciiTheme="majorHAnsi" w:hAnsiTheme="majorHAnsi" w:cstheme="majorHAnsi"/>
          <w:sz w:val="28"/>
          <w:szCs w:val="28"/>
          <w:lang w:val="nl-NL"/>
        </w:rPr>
        <w:t>q</w:t>
      </w:r>
      <w:r w:rsidRPr="00216CB6">
        <w:rPr>
          <w:rFonts w:asciiTheme="majorHAnsi" w:hAnsiTheme="majorHAnsi" w:cstheme="majorHAnsi"/>
          <w:sz w:val="28"/>
          <w:szCs w:val="28"/>
          <w:lang w:val="vi-VN"/>
        </w:rPr>
        <w:t>uy định chi tiết về tài chính công đoàn</w:t>
      </w:r>
      <w:r w:rsidRPr="00216CB6">
        <w:rPr>
          <w:rFonts w:asciiTheme="majorHAnsi" w:hAnsiTheme="majorHAnsi" w:cstheme="majorHAnsi"/>
          <w:sz w:val="28"/>
          <w:szCs w:val="28"/>
          <w:lang w:val="nl-NL"/>
        </w:rPr>
        <w:t>. Số kinh phí công đoàn này Công ty đã đóng nộp Liên đoàn lao động huyện Can Lộc, năm 2019, 2020 mỗi năm đã nộp số tiền 4.900.000 đồng.</w:t>
      </w:r>
    </w:p>
    <w:p w:rsidR="00FE5DDF" w:rsidRPr="00216CB6" w:rsidRDefault="00FE5DDF" w:rsidP="002D6D87">
      <w:pPr>
        <w:spacing w:before="120" w:after="120"/>
        <w:ind w:firstLine="709"/>
        <w:jc w:val="both"/>
        <w:rPr>
          <w:rFonts w:asciiTheme="majorHAnsi" w:hAnsiTheme="majorHAnsi" w:cstheme="majorHAnsi"/>
          <w:b/>
          <w:sz w:val="28"/>
          <w:szCs w:val="28"/>
          <w:lang w:val="nl-NL"/>
        </w:rPr>
      </w:pPr>
      <w:r w:rsidRPr="00216CB6">
        <w:rPr>
          <w:rFonts w:asciiTheme="majorHAnsi" w:hAnsiTheme="majorHAnsi" w:cstheme="majorHAnsi"/>
          <w:b/>
          <w:sz w:val="28"/>
          <w:szCs w:val="28"/>
          <w:lang w:val="nl-NL"/>
        </w:rPr>
        <w:t>4. Chấp hành quy định pháp luật về đất đai</w:t>
      </w:r>
    </w:p>
    <w:p w:rsidR="001E4C93" w:rsidRPr="00216CB6" w:rsidRDefault="001E4C93" w:rsidP="002D6D87">
      <w:pPr>
        <w:pStyle w:val="ListParagraph"/>
        <w:spacing w:before="120" w:after="120"/>
        <w:ind w:left="0"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vi-VN"/>
        </w:rPr>
        <w:t>Trong thời kỳ thanh tra (năm 20</w:t>
      </w:r>
      <w:r w:rsidRPr="00216CB6">
        <w:rPr>
          <w:rFonts w:asciiTheme="majorHAnsi" w:hAnsiTheme="majorHAnsi" w:cstheme="majorHAnsi"/>
          <w:sz w:val="28"/>
          <w:szCs w:val="28"/>
          <w:lang w:val="nl-NL"/>
        </w:rPr>
        <w:t>19</w:t>
      </w:r>
      <w:r w:rsidRPr="00216CB6">
        <w:rPr>
          <w:rFonts w:asciiTheme="majorHAnsi" w:hAnsiTheme="majorHAnsi" w:cstheme="majorHAnsi"/>
          <w:sz w:val="28"/>
          <w:szCs w:val="28"/>
          <w:lang w:val="vi-VN"/>
        </w:rPr>
        <w:t>, 20</w:t>
      </w:r>
      <w:r w:rsidRPr="00216CB6">
        <w:rPr>
          <w:rFonts w:asciiTheme="majorHAnsi" w:hAnsiTheme="majorHAnsi" w:cstheme="majorHAnsi"/>
          <w:sz w:val="28"/>
          <w:szCs w:val="28"/>
          <w:lang w:val="nl-NL"/>
        </w:rPr>
        <w:t>20</w:t>
      </w:r>
      <w:r w:rsidRPr="00216CB6">
        <w:rPr>
          <w:rFonts w:asciiTheme="majorHAnsi" w:hAnsiTheme="majorHAnsi" w:cstheme="majorHAnsi"/>
          <w:sz w:val="28"/>
          <w:szCs w:val="28"/>
          <w:lang w:val="vi-VN"/>
        </w:rPr>
        <w:t xml:space="preserve">), Công ty </w:t>
      </w:r>
      <w:r w:rsidR="004F372D" w:rsidRPr="00BF3E8F">
        <w:rPr>
          <w:rFonts w:asciiTheme="majorHAnsi" w:hAnsiTheme="majorHAnsi" w:cstheme="majorHAnsi"/>
          <w:sz w:val="28"/>
          <w:szCs w:val="28"/>
          <w:lang w:val="nl-NL"/>
        </w:rPr>
        <w:t>sử dụng</w:t>
      </w:r>
      <w:r w:rsidR="00350A2D">
        <w:rPr>
          <w:rFonts w:asciiTheme="majorHAnsi" w:hAnsiTheme="majorHAnsi" w:cstheme="majorHAnsi"/>
          <w:sz w:val="28"/>
          <w:szCs w:val="28"/>
          <w:lang w:val="nl-NL"/>
        </w:rPr>
        <w:t xml:space="preserve"> </w:t>
      </w:r>
      <w:r w:rsidR="004F372D" w:rsidRPr="00BF3E8F">
        <w:rPr>
          <w:rFonts w:asciiTheme="majorHAnsi" w:hAnsiTheme="majorHAnsi" w:cstheme="majorHAnsi"/>
          <w:sz w:val="28"/>
          <w:szCs w:val="28"/>
          <w:lang w:val="nl-NL"/>
        </w:rPr>
        <w:t xml:space="preserve">02 thửa đất </w:t>
      </w:r>
      <w:r w:rsidRPr="00216CB6">
        <w:rPr>
          <w:rFonts w:asciiTheme="majorHAnsi" w:hAnsiTheme="majorHAnsi" w:cstheme="majorHAnsi"/>
          <w:sz w:val="28"/>
          <w:szCs w:val="28"/>
          <w:lang w:val="nl-NL"/>
        </w:rPr>
        <w:t>trên địa bàn tỉnh Hà Tĩnh</w:t>
      </w:r>
      <w:r w:rsidR="001A6551">
        <w:rPr>
          <w:rFonts w:asciiTheme="majorHAnsi" w:hAnsiTheme="majorHAnsi" w:cstheme="majorHAnsi"/>
          <w:sz w:val="28"/>
          <w:szCs w:val="28"/>
          <w:lang w:val="nl-NL"/>
        </w:rPr>
        <w:t>:</w:t>
      </w:r>
    </w:p>
    <w:p w:rsidR="001E4C93" w:rsidRPr="00216CB6" w:rsidRDefault="001E4C93" w:rsidP="002D6D87">
      <w:pPr>
        <w:pStyle w:val="ListParagraph"/>
        <w:spacing w:before="120" w:after="120"/>
        <w:ind w:left="0"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(1) Thửa đất tại Khu vực Khe Dâu, xóm 1, xã Vượng Lộc, huyện Can Lộc với </w:t>
      </w:r>
      <w:r w:rsidRPr="00216CB6">
        <w:rPr>
          <w:rFonts w:asciiTheme="majorHAnsi" w:hAnsiTheme="majorHAnsi" w:cstheme="majorHAnsi"/>
          <w:sz w:val="28"/>
          <w:szCs w:val="28"/>
          <w:lang w:val="vi-VN"/>
        </w:rPr>
        <w:t xml:space="preserve">diện tích: </w:t>
      </w:r>
      <w:r w:rsidRPr="00216CB6">
        <w:rPr>
          <w:rFonts w:asciiTheme="majorHAnsi" w:hAnsiTheme="majorHAnsi" w:cstheme="majorHAnsi"/>
          <w:sz w:val="28"/>
          <w:szCs w:val="28"/>
          <w:lang w:val="nl-NL"/>
        </w:rPr>
        <w:t>70.000</w:t>
      </w:r>
      <w:r w:rsidRPr="00216CB6">
        <w:rPr>
          <w:rFonts w:asciiTheme="majorHAnsi" w:hAnsiTheme="majorHAnsi" w:cstheme="majorHAnsi"/>
          <w:sz w:val="28"/>
          <w:szCs w:val="28"/>
          <w:lang w:val="vi-VN"/>
        </w:rPr>
        <w:t xml:space="preserve"> m</w:t>
      </w:r>
      <w:r w:rsidRPr="00216CB6">
        <w:rPr>
          <w:rFonts w:asciiTheme="majorHAnsi" w:hAnsiTheme="majorHAnsi" w:cstheme="majorHAnsi"/>
          <w:sz w:val="28"/>
          <w:szCs w:val="28"/>
          <w:vertAlign w:val="superscript"/>
          <w:lang w:val="vi-VN"/>
        </w:rPr>
        <w:t>2</w:t>
      </w:r>
      <w:r w:rsidRPr="00216CB6">
        <w:rPr>
          <w:rFonts w:asciiTheme="majorHAnsi" w:hAnsiTheme="majorHAnsi" w:cstheme="majorHAnsi"/>
          <w:sz w:val="28"/>
          <w:szCs w:val="28"/>
          <w:lang w:val="nl-NL"/>
        </w:rPr>
        <w:t>; mục đích sử dụng đất: Sản xuất vật liệu xây dựng, làm đồ gốm (khai thác đá xây dựng). Thời gian sử dụng đất đến ngày 15/11/2027 (Q</w:t>
      </w:r>
      <w:r w:rsidR="00D26D33">
        <w:rPr>
          <w:rFonts w:asciiTheme="majorHAnsi" w:hAnsiTheme="majorHAnsi" w:cstheme="majorHAnsi"/>
          <w:sz w:val="28"/>
          <w:szCs w:val="28"/>
          <w:lang w:val="nl-NL"/>
        </w:rPr>
        <w:t>uyết định gia hạn thời gian</w:t>
      </w:r>
      <w:r w:rsidRPr="00216CB6">
        <w:rPr>
          <w:rFonts w:asciiTheme="majorHAnsi" w:hAnsiTheme="majorHAnsi" w:cstheme="majorHAnsi"/>
          <w:sz w:val="28"/>
          <w:szCs w:val="28"/>
          <w:lang w:val="nl-NL"/>
        </w:rPr>
        <w:t xml:space="preserve"> số 25/QĐ-UBND ngày 06/01/2015 của UBND tỉnh)</w:t>
      </w:r>
      <w:r w:rsidR="001A6551">
        <w:rPr>
          <w:rFonts w:asciiTheme="majorHAnsi" w:hAnsiTheme="majorHAnsi" w:cstheme="majorHAnsi"/>
          <w:sz w:val="28"/>
          <w:szCs w:val="28"/>
          <w:lang w:val="nl-NL"/>
        </w:rPr>
        <w:t>.</w:t>
      </w:r>
    </w:p>
    <w:p w:rsidR="001E4C93" w:rsidRPr="00216CB6" w:rsidRDefault="001E4C93" w:rsidP="002D6D87">
      <w:pPr>
        <w:pStyle w:val="ListParagraph"/>
        <w:spacing w:before="120" w:after="120"/>
        <w:ind w:left="0"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(2) Thửa đất cũng tại xóm 1, xã Vượng Lộc, huyện Can Lộc với </w:t>
      </w:r>
      <w:r w:rsidRPr="00216CB6">
        <w:rPr>
          <w:rFonts w:asciiTheme="majorHAnsi" w:hAnsiTheme="majorHAnsi" w:cstheme="majorHAnsi"/>
          <w:sz w:val="28"/>
          <w:szCs w:val="28"/>
          <w:lang w:val="vi-VN"/>
        </w:rPr>
        <w:t xml:space="preserve">diện tích: </w:t>
      </w:r>
      <w:r w:rsidRPr="00216CB6">
        <w:rPr>
          <w:rFonts w:asciiTheme="majorHAnsi" w:hAnsiTheme="majorHAnsi" w:cstheme="majorHAnsi"/>
          <w:sz w:val="28"/>
          <w:szCs w:val="28"/>
          <w:lang w:val="nl-NL"/>
        </w:rPr>
        <w:t>26.251</w:t>
      </w:r>
      <w:r w:rsidRPr="00216CB6">
        <w:rPr>
          <w:rFonts w:asciiTheme="majorHAnsi" w:hAnsiTheme="majorHAnsi" w:cstheme="majorHAnsi"/>
          <w:sz w:val="28"/>
          <w:szCs w:val="28"/>
          <w:lang w:val="vi-VN"/>
        </w:rPr>
        <w:t xml:space="preserve"> m</w:t>
      </w:r>
      <w:r w:rsidRPr="00216CB6">
        <w:rPr>
          <w:rFonts w:asciiTheme="majorHAnsi" w:hAnsiTheme="majorHAnsi" w:cstheme="majorHAnsi"/>
          <w:sz w:val="28"/>
          <w:szCs w:val="28"/>
          <w:vertAlign w:val="superscript"/>
          <w:lang w:val="vi-VN"/>
        </w:rPr>
        <w:t>2</w:t>
      </w:r>
      <w:r w:rsidRPr="00216CB6">
        <w:rPr>
          <w:rFonts w:asciiTheme="majorHAnsi" w:hAnsiTheme="majorHAnsi" w:cstheme="majorHAnsi"/>
          <w:sz w:val="28"/>
          <w:szCs w:val="28"/>
          <w:lang w:val="nl-NL"/>
        </w:rPr>
        <w:t xml:space="preserve">. Mục đích sử dụng: Đất sản xuất vật liệu xây dựng (xây dựng khu chế biến, tập kết, kinh doanh đá xây dựng). Thời gian thuê đất </w:t>
      </w:r>
      <w:r w:rsidR="00D26D33">
        <w:rPr>
          <w:rFonts w:asciiTheme="majorHAnsi" w:hAnsiTheme="majorHAnsi" w:cstheme="majorHAnsi"/>
          <w:sz w:val="28"/>
          <w:szCs w:val="28"/>
          <w:lang w:val="nl-NL"/>
        </w:rPr>
        <w:t xml:space="preserve">30 năm </w:t>
      </w:r>
      <w:r w:rsidRPr="00216CB6">
        <w:rPr>
          <w:rFonts w:asciiTheme="majorHAnsi" w:hAnsiTheme="majorHAnsi" w:cstheme="majorHAnsi"/>
          <w:sz w:val="28"/>
          <w:szCs w:val="28"/>
          <w:lang w:val="nl-NL"/>
        </w:rPr>
        <w:t>từ ngày 15/11/2013 đến 15/11/2043.</w:t>
      </w:r>
    </w:p>
    <w:p w:rsidR="001E4C93" w:rsidRPr="00216CB6" w:rsidRDefault="001E4C93" w:rsidP="002D6D87">
      <w:pPr>
        <w:spacing w:before="120" w:after="120"/>
        <w:ind w:firstLine="709"/>
        <w:jc w:val="both"/>
        <w:rPr>
          <w:rFonts w:asciiTheme="majorHAnsi" w:hAnsiTheme="majorHAnsi" w:cstheme="majorHAnsi"/>
          <w:b/>
          <w:i/>
          <w:sz w:val="28"/>
          <w:szCs w:val="28"/>
          <w:lang w:val="vi-VN"/>
        </w:rPr>
      </w:pPr>
      <w:r w:rsidRPr="00216CB6">
        <w:rPr>
          <w:rFonts w:asciiTheme="majorHAnsi" w:hAnsiTheme="majorHAnsi" w:cstheme="majorHAnsi"/>
          <w:b/>
          <w:i/>
          <w:sz w:val="28"/>
          <w:szCs w:val="28"/>
          <w:lang w:val="vi-VN"/>
        </w:rPr>
        <w:t>- Trình tự, thủ tục thuê đất, việc sử dụng đất:</w:t>
      </w:r>
    </w:p>
    <w:p w:rsidR="001E4C93" w:rsidRPr="00BF3E8F" w:rsidRDefault="001E4C93" w:rsidP="002D6D87">
      <w:pPr>
        <w:spacing w:before="120" w:after="120"/>
        <w:ind w:firstLine="709"/>
        <w:jc w:val="both"/>
        <w:rPr>
          <w:rFonts w:asciiTheme="majorHAnsi" w:hAnsiTheme="majorHAnsi" w:cstheme="majorHAnsi"/>
          <w:sz w:val="28"/>
          <w:szCs w:val="28"/>
          <w:lang w:val="vi-VN"/>
        </w:rPr>
      </w:pPr>
      <w:r w:rsidRPr="00216CB6">
        <w:rPr>
          <w:rFonts w:asciiTheme="majorHAnsi" w:hAnsiTheme="majorHAnsi" w:cstheme="majorHAnsi"/>
          <w:sz w:val="28"/>
          <w:szCs w:val="28"/>
          <w:lang w:val="vi-VN"/>
        </w:rPr>
        <w:t>+ Thửa đất do Công ty thuê có các hồ sơ về đất đai theo quy định của pháp luật gồm: Quyết định cho thuê đất; Hợp đồng thuê đất</w:t>
      </w:r>
      <w:r w:rsidR="004F372D" w:rsidRPr="00BF3E8F">
        <w:rPr>
          <w:rFonts w:asciiTheme="majorHAnsi" w:hAnsiTheme="majorHAnsi" w:cstheme="majorHAnsi"/>
          <w:sz w:val="28"/>
          <w:szCs w:val="28"/>
          <w:lang w:val="vi-VN"/>
        </w:rPr>
        <w:t>. Cả hai thửa đất Công ty sử dụng đến thời điểm kiểm tra chưa có Giấy chứng nhận quyền sử dụng đất.</w:t>
      </w:r>
    </w:p>
    <w:p w:rsidR="001E4C93" w:rsidRPr="00BF3E8F" w:rsidRDefault="001E4C93" w:rsidP="002D6D87">
      <w:pPr>
        <w:spacing w:before="120" w:after="120"/>
        <w:ind w:firstLine="709"/>
        <w:jc w:val="both"/>
        <w:rPr>
          <w:rFonts w:asciiTheme="majorHAnsi" w:hAnsiTheme="majorHAnsi" w:cstheme="majorHAnsi"/>
          <w:sz w:val="28"/>
          <w:szCs w:val="28"/>
          <w:lang w:val="vi-VN"/>
        </w:rPr>
      </w:pPr>
      <w:r w:rsidRPr="00216CB6">
        <w:rPr>
          <w:rFonts w:asciiTheme="majorHAnsi" w:hAnsiTheme="majorHAnsi" w:cstheme="majorHAnsi"/>
          <w:sz w:val="28"/>
          <w:szCs w:val="28"/>
          <w:lang w:val="vi-VN"/>
        </w:rPr>
        <w:t xml:space="preserve">+ </w:t>
      </w:r>
      <w:r w:rsidR="004F372D" w:rsidRPr="00BF3E8F">
        <w:rPr>
          <w:rFonts w:asciiTheme="majorHAnsi" w:hAnsiTheme="majorHAnsi" w:cstheme="majorHAnsi"/>
          <w:sz w:val="28"/>
          <w:szCs w:val="28"/>
          <w:lang w:val="vi-VN"/>
        </w:rPr>
        <w:t xml:space="preserve">Theo báo cáo </w:t>
      </w:r>
      <w:r w:rsidRPr="00216CB6">
        <w:rPr>
          <w:rFonts w:asciiTheme="majorHAnsi" w:hAnsiTheme="majorHAnsi" w:cstheme="majorHAnsi"/>
          <w:sz w:val="28"/>
          <w:szCs w:val="28"/>
          <w:lang w:val="vi-VN"/>
        </w:rPr>
        <w:t>Công ty sử dụng cơ bản đáp ứng mục đích sử dụng đất theo Quyết định cho thuê đất</w:t>
      </w:r>
      <w:r w:rsidR="004F372D" w:rsidRPr="00BF3E8F">
        <w:rPr>
          <w:rFonts w:asciiTheme="majorHAnsi" w:hAnsiTheme="majorHAnsi" w:cstheme="majorHAnsi"/>
          <w:sz w:val="28"/>
          <w:szCs w:val="28"/>
          <w:lang w:val="vi-VN"/>
        </w:rPr>
        <w:t>, đất Công ty sử dụng không phát sinh tranh chấp, khiếu kiện</w:t>
      </w:r>
      <w:r w:rsidRPr="00216CB6">
        <w:rPr>
          <w:rFonts w:asciiTheme="majorHAnsi" w:hAnsiTheme="majorHAnsi" w:cstheme="majorHAnsi"/>
          <w:sz w:val="28"/>
          <w:szCs w:val="28"/>
          <w:lang w:val="vi-VN"/>
        </w:rPr>
        <w:t>.</w:t>
      </w:r>
    </w:p>
    <w:p w:rsidR="001E4C93" w:rsidRPr="00216CB6" w:rsidRDefault="001E4C93" w:rsidP="002D6D87">
      <w:pPr>
        <w:spacing w:before="120" w:after="120"/>
        <w:ind w:firstLine="709"/>
        <w:jc w:val="both"/>
        <w:rPr>
          <w:rFonts w:asciiTheme="majorHAnsi" w:hAnsiTheme="majorHAnsi" w:cstheme="majorHAnsi"/>
          <w:b/>
          <w:i/>
          <w:sz w:val="28"/>
          <w:szCs w:val="28"/>
          <w:lang w:val="vi-VN"/>
        </w:rPr>
      </w:pPr>
      <w:r w:rsidRPr="00216CB6">
        <w:rPr>
          <w:rFonts w:asciiTheme="majorHAnsi" w:hAnsiTheme="majorHAnsi" w:cstheme="majorHAnsi"/>
          <w:b/>
          <w:i/>
          <w:sz w:val="28"/>
          <w:szCs w:val="28"/>
          <w:lang w:val="vi-VN"/>
        </w:rPr>
        <w:t>- Về nộp tiền thuê đất, tiền thuế sử dụng đất:</w:t>
      </w:r>
    </w:p>
    <w:p w:rsidR="00D26D33" w:rsidRPr="00BF3E8F" w:rsidRDefault="001E4C93" w:rsidP="002D6D87">
      <w:pPr>
        <w:spacing w:before="120" w:after="120"/>
        <w:ind w:firstLine="709"/>
        <w:jc w:val="both"/>
        <w:rPr>
          <w:rFonts w:asciiTheme="majorHAnsi" w:hAnsiTheme="majorHAnsi" w:cstheme="majorHAnsi"/>
          <w:i/>
          <w:sz w:val="28"/>
          <w:szCs w:val="28"/>
          <w:lang w:val="vi-VN"/>
        </w:rPr>
      </w:pPr>
      <w:r w:rsidRPr="00216CB6">
        <w:rPr>
          <w:rFonts w:asciiTheme="majorHAnsi" w:hAnsiTheme="majorHAnsi" w:cstheme="majorHAnsi"/>
          <w:i/>
          <w:sz w:val="28"/>
          <w:szCs w:val="28"/>
          <w:lang w:val="vi-VN"/>
        </w:rPr>
        <w:t xml:space="preserve">+ Thực hiện theo dõi, đóng nộp tiền thuê đất, tiền thuế sử dụng đất phi NN: </w:t>
      </w:r>
    </w:p>
    <w:p w:rsidR="001E4C93" w:rsidRPr="005713A7" w:rsidRDefault="004F372D" w:rsidP="002D6D87">
      <w:pPr>
        <w:spacing w:before="120" w:after="120"/>
        <w:ind w:firstLine="709"/>
        <w:jc w:val="both"/>
        <w:rPr>
          <w:rFonts w:asciiTheme="majorHAnsi" w:hAnsiTheme="majorHAnsi" w:cstheme="majorHAnsi"/>
          <w:sz w:val="28"/>
          <w:szCs w:val="28"/>
        </w:rPr>
      </w:pPr>
      <w:r w:rsidRPr="00BF3E8F">
        <w:rPr>
          <w:rFonts w:asciiTheme="majorHAnsi" w:hAnsiTheme="majorHAnsi" w:cstheme="majorHAnsi"/>
          <w:sz w:val="28"/>
          <w:szCs w:val="28"/>
          <w:lang w:val="vi-VN"/>
        </w:rPr>
        <w:t xml:space="preserve">Năm </w:t>
      </w:r>
      <w:r w:rsidRPr="00BF3E8F">
        <w:rPr>
          <w:rFonts w:asciiTheme="majorHAnsi" w:hAnsiTheme="majorHAnsi" w:cstheme="majorHAnsi"/>
          <w:sz w:val="28"/>
          <w:szCs w:val="28"/>
        </w:rPr>
        <w:t xml:space="preserve">2019, </w:t>
      </w:r>
      <w:r w:rsidRPr="00BF3E8F">
        <w:rPr>
          <w:rFonts w:asciiTheme="majorHAnsi" w:hAnsiTheme="majorHAnsi" w:cstheme="majorHAnsi"/>
          <w:sz w:val="28"/>
          <w:szCs w:val="28"/>
          <w:lang w:val="vi-VN"/>
        </w:rPr>
        <w:t xml:space="preserve">2020, </w:t>
      </w:r>
      <w:r w:rsidR="001E4C93" w:rsidRPr="00216CB6">
        <w:rPr>
          <w:rFonts w:asciiTheme="majorHAnsi" w:hAnsiTheme="majorHAnsi" w:cstheme="majorHAnsi"/>
          <w:sz w:val="28"/>
          <w:szCs w:val="28"/>
          <w:lang w:val="vi-VN"/>
        </w:rPr>
        <w:t>Công ty thực hiện theo dõi, đóng nộp đầy đủ tiền thuê đất, tiền thuế sử dụng đất phi nông nghiệp theo đúng thông báo của cơ quan có thẩm quyền</w:t>
      </w:r>
      <w:r w:rsidRPr="00BF3E8F">
        <w:rPr>
          <w:rFonts w:asciiTheme="majorHAnsi" w:hAnsiTheme="majorHAnsi" w:cstheme="majorHAnsi"/>
          <w:sz w:val="28"/>
          <w:szCs w:val="28"/>
          <w:lang w:val="vi-VN"/>
        </w:rPr>
        <w:t>, trong kỳ đã nộp</w:t>
      </w:r>
      <w:r w:rsidR="006F43B5">
        <w:rPr>
          <w:rFonts w:asciiTheme="majorHAnsi" w:hAnsiTheme="majorHAnsi" w:cstheme="majorHAnsi"/>
          <w:sz w:val="28"/>
          <w:szCs w:val="28"/>
        </w:rPr>
        <w:t xml:space="preserve"> 218.727.500/218.757.500 đồng phải nộp</w:t>
      </w:r>
      <w:r w:rsidR="00620088">
        <w:rPr>
          <w:rFonts w:asciiTheme="majorHAnsi" w:hAnsiTheme="majorHAnsi" w:cstheme="majorHAnsi"/>
          <w:sz w:val="28"/>
          <w:szCs w:val="28"/>
        </w:rPr>
        <w:t xml:space="preserve"> </w:t>
      </w:r>
      <w:r w:rsidR="006F43B5">
        <w:rPr>
          <w:rFonts w:asciiTheme="majorHAnsi" w:hAnsiTheme="majorHAnsi" w:cstheme="majorHAnsi"/>
          <w:sz w:val="28"/>
          <w:szCs w:val="28"/>
        </w:rPr>
        <w:t xml:space="preserve">(năm 2019: 108.281.000 đồng, năm 2020: </w:t>
      </w:r>
      <w:r w:rsidRPr="00BF3E8F">
        <w:rPr>
          <w:rFonts w:asciiTheme="majorHAnsi" w:hAnsiTheme="majorHAnsi" w:cstheme="majorHAnsi"/>
          <w:sz w:val="28"/>
          <w:szCs w:val="28"/>
          <w:lang w:val="vi-VN"/>
        </w:rPr>
        <w:t>110.446.500 đồng</w:t>
      </w:r>
      <w:r w:rsidR="006F43B5">
        <w:rPr>
          <w:rFonts w:asciiTheme="majorHAnsi" w:hAnsiTheme="majorHAnsi" w:cstheme="majorHAnsi"/>
          <w:sz w:val="28"/>
          <w:szCs w:val="28"/>
        </w:rPr>
        <w:t>)</w:t>
      </w:r>
    </w:p>
    <w:p w:rsidR="00762FDD" w:rsidRPr="00BF3E8F" w:rsidRDefault="00B24D2F" w:rsidP="002D6D87">
      <w:pPr>
        <w:spacing w:before="120" w:after="120"/>
        <w:ind w:firstLine="709"/>
        <w:jc w:val="both"/>
        <w:rPr>
          <w:rFonts w:asciiTheme="majorHAnsi" w:hAnsiTheme="majorHAnsi" w:cstheme="majorHAnsi"/>
          <w:sz w:val="28"/>
          <w:szCs w:val="28"/>
          <w:lang w:val="vi-VN"/>
        </w:rPr>
      </w:pPr>
      <w:r>
        <w:rPr>
          <w:rFonts w:asciiTheme="majorHAnsi" w:hAnsiTheme="majorHAnsi" w:cstheme="majorHAnsi"/>
          <w:i/>
          <w:sz w:val="28"/>
          <w:szCs w:val="28"/>
          <w:lang w:val="vi-VN"/>
        </w:rPr>
        <w:lastRenderedPageBreak/>
        <w:t>+ Về miễn tiền thuê đất:</w:t>
      </w:r>
      <w:r w:rsidR="00537D94">
        <w:rPr>
          <w:rFonts w:asciiTheme="majorHAnsi" w:hAnsiTheme="majorHAnsi" w:cstheme="majorHAnsi"/>
          <w:i/>
          <w:sz w:val="28"/>
          <w:szCs w:val="28"/>
        </w:rPr>
        <w:t xml:space="preserve"> </w:t>
      </w:r>
      <w:r w:rsidR="001E4C93" w:rsidRPr="00216CB6">
        <w:rPr>
          <w:rFonts w:asciiTheme="majorHAnsi" w:hAnsiTheme="majorHAnsi" w:cstheme="majorHAnsi"/>
          <w:sz w:val="28"/>
          <w:szCs w:val="28"/>
          <w:lang w:val="vi-VN"/>
        </w:rPr>
        <w:t>Thời kỳ thanh tra (năm 2019, 2020) Công ty được miễn tiền thu</w:t>
      </w:r>
      <w:r w:rsidR="004F372D" w:rsidRPr="00BF3E8F">
        <w:rPr>
          <w:rFonts w:asciiTheme="majorHAnsi" w:hAnsiTheme="majorHAnsi" w:cstheme="majorHAnsi"/>
          <w:sz w:val="28"/>
          <w:szCs w:val="28"/>
          <w:lang w:val="vi-VN"/>
        </w:rPr>
        <w:t>ê</w:t>
      </w:r>
      <w:r w:rsidR="001E4C93" w:rsidRPr="00216CB6">
        <w:rPr>
          <w:rFonts w:asciiTheme="majorHAnsi" w:hAnsiTheme="majorHAnsi" w:cstheme="majorHAnsi"/>
          <w:sz w:val="28"/>
          <w:szCs w:val="28"/>
          <w:lang w:val="vi-VN"/>
        </w:rPr>
        <w:t xml:space="preserve"> đất</w:t>
      </w:r>
      <w:r w:rsidR="004F372D" w:rsidRPr="00BF3E8F">
        <w:rPr>
          <w:rFonts w:asciiTheme="majorHAnsi" w:hAnsiTheme="majorHAnsi" w:cstheme="majorHAnsi"/>
          <w:sz w:val="28"/>
          <w:szCs w:val="28"/>
          <w:lang w:val="vi-VN"/>
        </w:rPr>
        <w:t xml:space="preserve"> thửa đất diện tích </w:t>
      </w:r>
      <w:r w:rsidR="001E4C93" w:rsidRPr="00216CB6">
        <w:rPr>
          <w:rFonts w:asciiTheme="majorHAnsi" w:hAnsiTheme="majorHAnsi" w:cstheme="majorHAnsi"/>
          <w:sz w:val="28"/>
          <w:szCs w:val="28"/>
          <w:lang w:val="nl-NL"/>
        </w:rPr>
        <w:t>26.251</w:t>
      </w:r>
      <w:r w:rsidR="001E4C93" w:rsidRPr="00216CB6">
        <w:rPr>
          <w:rFonts w:asciiTheme="majorHAnsi" w:hAnsiTheme="majorHAnsi" w:cstheme="majorHAnsi"/>
          <w:sz w:val="28"/>
          <w:szCs w:val="28"/>
          <w:lang w:val="vi-VN"/>
        </w:rPr>
        <w:t xml:space="preserve"> m</w:t>
      </w:r>
      <w:r w:rsidR="001E4C93" w:rsidRPr="00216CB6">
        <w:rPr>
          <w:rFonts w:asciiTheme="majorHAnsi" w:hAnsiTheme="majorHAnsi" w:cstheme="majorHAnsi"/>
          <w:sz w:val="28"/>
          <w:szCs w:val="28"/>
          <w:vertAlign w:val="superscript"/>
          <w:lang w:val="vi-VN"/>
        </w:rPr>
        <w:t>2</w:t>
      </w:r>
      <w:r w:rsidR="004F372D" w:rsidRPr="00BF3E8F">
        <w:rPr>
          <w:rFonts w:asciiTheme="majorHAnsi" w:hAnsiTheme="majorHAnsi" w:cstheme="majorHAnsi"/>
          <w:sz w:val="28"/>
          <w:szCs w:val="28"/>
          <w:lang w:val="vi-VN"/>
        </w:rPr>
        <w:t xml:space="preserve"> (làm bãi chế biến VLXD) số tiền 56.605.000 đồng (năm 2019 số tiền: 29.943.000 đồng, năm 2020, số tiền: 26.662.000 đồng); giảm 50 %</w:t>
      </w:r>
      <w:r w:rsidR="00620088">
        <w:rPr>
          <w:rFonts w:asciiTheme="majorHAnsi" w:hAnsiTheme="majorHAnsi" w:cstheme="majorHAnsi"/>
          <w:sz w:val="28"/>
          <w:szCs w:val="28"/>
        </w:rPr>
        <w:t xml:space="preserve"> </w:t>
      </w:r>
      <w:r w:rsidR="004F372D" w:rsidRPr="00BF3E8F">
        <w:rPr>
          <w:rFonts w:asciiTheme="majorHAnsi" w:hAnsiTheme="majorHAnsi" w:cstheme="majorHAnsi"/>
          <w:sz w:val="28"/>
          <w:szCs w:val="28"/>
          <w:lang w:val="vi-VN"/>
        </w:rPr>
        <w:t>tiền thuế sử dụng đất phi nông nghiệp 02 thửa đất sử dụng, số tiền 2.165.000 đồng</w:t>
      </w:r>
      <w:r w:rsidR="001E4C93" w:rsidRPr="00216CB6">
        <w:rPr>
          <w:rFonts w:asciiTheme="majorHAnsi" w:hAnsiTheme="majorHAnsi" w:cstheme="majorHAnsi"/>
          <w:sz w:val="28"/>
          <w:szCs w:val="28"/>
          <w:lang w:val="vi-VN"/>
        </w:rPr>
        <w:t xml:space="preserve">. </w:t>
      </w:r>
      <w:r w:rsidR="004F372D" w:rsidRPr="00BF3E8F">
        <w:rPr>
          <w:rFonts w:asciiTheme="majorHAnsi" w:hAnsiTheme="majorHAnsi" w:cstheme="majorHAnsi"/>
          <w:sz w:val="28"/>
          <w:szCs w:val="28"/>
          <w:lang w:val="vi-VN"/>
        </w:rPr>
        <w:t>Việc</w:t>
      </w:r>
      <w:r w:rsidR="00620088" w:rsidRPr="00BF3E8F">
        <w:rPr>
          <w:rFonts w:asciiTheme="majorHAnsi" w:hAnsiTheme="majorHAnsi" w:cstheme="majorHAnsi"/>
          <w:sz w:val="28"/>
          <w:szCs w:val="28"/>
          <w:lang w:val="vi-VN"/>
        </w:rPr>
        <w:t xml:space="preserve"> </w:t>
      </w:r>
      <w:r w:rsidR="00334495">
        <w:rPr>
          <w:rFonts w:asciiTheme="majorHAnsi" w:hAnsiTheme="majorHAnsi" w:cstheme="majorHAnsi"/>
          <w:sz w:val="28"/>
          <w:szCs w:val="28"/>
          <w:lang w:val="vi-VN"/>
        </w:rPr>
        <w:t>miễn tiền thuê đất</w:t>
      </w:r>
      <w:r w:rsidR="00620088" w:rsidRPr="00BF3E8F">
        <w:rPr>
          <w:rFonts w:asciiTheme="majorHAnsi" w:hAnsiTheme="majorHAnsi" w:cstheme="majorHAnsi"/>
          <w:sz w:val="28"/>
          <w:szCs w:val="28"/>
          <w:lang w:val="vi-VN"/>
        </w:rPr>
        <w:t xml:space="preserve"> </w:t>
      </w:r>
      <w:r w:rsidR="004F372D" w:rsidRPr="00BF3E8F">
        <w:rPr>
          <w:rFonts w:asciiTheme="majorHAnsi" w:hAnsiTheme="majorHAnsi" w:cstheme="majorHAnsi"/>
          <w:sz w:val="28"/>
          <w:szCs w:val="28"/>
          <w:lang w:val="vi-VN"/>
        </w:rPr>
        <w:t xml:space="preserve">của Công ty </w:t>
      </w:r>
      <w:r w:rsidR="00334495" w:rsidRPr="00334495">
        <w:rPr>
          <w:rFonts w:asciiTheme="majorHAnsi" w:hAnsiTheme="majorHAnsi" w:cstheme="majorHAnsi"/>
          <w:sz w:val="28"/>
          <w:szCs w:val="28"/>
          <w:lang w:val="vi-VN"/>
        </w:rPr>
        <w:t xml:space="preserve">thực hiện </w:t>
      </w:r>
      <w:r w:rsidR="004F372D" w:rsidRPr="00BF3E8F">
        <w:rPr>
          <w:rFonts w:asciiTheme="majorHAnsi" w:hAnsiTheme="majorHAnsi" w:cstheme="majorHAnsi"/>
          <w:sz w:val="28"/>
          <w:szCs w:val="28"/>
          <w:lang w:val="vi-VN"/>
        </w:rPr>
        <w:t>theo Điểm b, Khoản 3, Điều 19, Nghị định số 46/2014/NĐ-CP ngày 15/5/2014 của Chính phủ quy định thu tiền thuê đất thuê mặt nước và đã</w:t>
      </w:r>
      <w:r w:rsidR="00620088" w:rsidRPr="00BF3E8F">
        <w:rPr>
          <w:rFonts w:asciiTheme="majorHAnsi" w:hAnsiTheme="majorHAnsi" w:cstheme="majorHAnsi"/>
          <w:sz w:val="28"/>
          <w:szCs w:val="28"/>
          <w:lang w:val="vi-VN"/>
        </w:rPr>
        <w:t xml:space="preserve"> </w:t>
      </w:r>
      <w:r w:rsidR="004F372D" w:rsidRPr="00BF3E8F">
        <w:rPr>
          <w:rFonts w:asciiTheme="majorHAnsi" w:hAnsiTheme="majorHAnsi" w:cstheme="majorHAnsi"/>
          <w:sz w:val="28"/>
          <w:szCs w:val="28"/>
          <w:lang w:val="vi-VN"/>
        </w:rPr>
        <w:t xml:space="preserve">được Cục </w:t>
      </w:r>
      <w:r w:rsidR="002D6D87" w:rsidRPr="00BF3E8F">
        <w:rPr>
          <w:rFonts w:asciiTheme="majorHAnsi" w:hAnsiTheme="majorHAnsi" w:cstheme="majorHAnsi"/>
          <w:sz w:val="28"/>
          <w:szCs w:val="28"/>
          <w:lang w:val="vi-VN"/>
        </w:rPr>
        <w:t>T</w:t>
      </w:r>
      <w:r w:rsidR="004F372D" w:rsidRPr="00BF3E8F">
        <w:rPr>
          <w:rFonts w:asciiTheme="majorHAnsi" w:hAnsiTheme="majorHAnsi" w:cstheme="majorHAnsi"/>
          <w:sz w:val="28"/>
          <w:szCs w:val="28"/>
          <w:lang w:val="vi-VN"/>
        </w:rPr>
        <w:t>huế tỉnh ban hành quyết định số 3070/QĐ-CT ngày 19/12/2017 về việc miễn tiền thuê đất (thời gian từ 01/12/2017 đến 30/11/2020).</w:t>
      </w:r>
    </w:p>
    <w:p w:rsidR="00451EE9" w:rsidRPr="00216CB6" w:rsidRDefault="00451EE9" w:rsidP="002D6D87">
      <w:pPr>
        <w:spacing w:before="120" w:after="120"/>
        <w:ind w:firstLine="709"/>
        <w:jc w:val="both"/>
        <w:rPr>
          <w:rFonts w:asciiTheme="majorHAnsi" w:hAnsiTheme="majorHAnsi" w:cstheme="majorHAnsi"/>
          <w:b/>
          <w:sz w:val="28"/>
          <w:szCs w:val="28"/>
          <w:lang w:val="pt-BR"/>
        </w:rPr>
      </w:pPr>
      <w:r w:rsidRPr="00216CB6">
        <w:rPr>
          <w:rFonts w:asciiTheme="majorHAnsi" w:hAnsiTheme="majorHAnsi" w:cstheme="majorHAnsi"/>
          <w:b/>
          <w:sz w:val="28"/>
          <w:szCs w:val="28"/>
          <w:lang w:val="nl-NL"/>
        </w:rPr>
        <w:t>5. Việc chấp hành quy định pháp luật về ĐTXD</w:t>
      </w:r>
    </w:p>
    <w:p w:rsidR="00FD4CEC" w:rsidRPr="00216CB6" w:rsidRDefault="00451EE9" w:rsidP="002D6D87">
      <w:pPr>
        <w:spacing w:before="120" w:after="120"/>
        <w:ind w:firstLine="709"/>
        <w:jc w:val="both"/>
        <w:rPr>
          <w:rFonts w:asciiTheme="majorHAnsi" w:hAnsiTheme="majorHAnsi" w:cstheme="majorHAnsi"/>
          <w:sz w:val="28"/>
          <w:szCs w:val="28"/>
          <w:lang w:val="pt-BR"/>
        </w:rPr>
      </w:pPr>
      <w:r w:rsidRPr="00216CB6">
        <w:rPr>
          <w:rFonts w:asciiTheme="majorHAnsi" w:hAnsiTheme="majorHAnsi" w:cstheme="majorHAnsi"/>
          <w:sz w:val="28"/>
          <w:szCs w:val="28"/>
          <w:lang w:val="pt-BR"/>
        </w:rPr>
        <w:t xml:space="preserve">Trong thời kỳ thanh tra, Công ty không </w:t>
      </w:r>
      <w:r w:rsidR="00334495">
        <w:rPr>
          <w:rFonts w:asciiTheme="majorHAnsi" w:hAnsiTheme="majorHAnsi" w:cstheme="majorHAnsi"/>
          <w:sz w:val="28"/>
          <w:szCs w:val="28"/>
          <w:lang w:val="pt-BR"/>
        </w:rPr>
        <w:t xml:space="preserve">thực hiện </w:t>
      </w:r>
      <w:r w:rsidR="001E4C93" w:rsidRPr="00216CB6">
        <w:rPr>
          <w:rFonts w:asciiTheme="majorHAnsi" w:hAnsiTheme="majorHAnsi" w:cstheme="majorHAnsi"/>
          <w:sz w:val="28"/>
          <w:szCs w:val="28"/>
          <w:lang w:val="pt-BR"/>
        </w:rPr>
        <w:t>đầu tư xây dựng dự án</w:t>
      </w:r>
      <w:r w:rsidRPr="00216CB6">
        <w:rPr>
          <w:rFonts w:asciiTheme="majorHAnsi" w:hAnsiTheme="majorHAnsi" w:cstheme="majorHAnsi"/>
          <w:sz w:val="28"/>
          <w:szCs w:val="28"/>
          <w:lang w:val="pt-BR"/>
        </w:rPr>
        <w:t>.</w:t>
      </w:r>
    </w:p>
    <w:p w:rsidR="00FE5DDF" w:rsidRPr="00067619" w:rsidRDefault="00FE5DDF" w:rsidP="002D6D87">
      <w:pPr>
        <w:spacing w:before="120" w:after="120"/>
        <w:ind w:firstLine="709"/>
        <w:jc w:val="both"/>
        <w:rPr>
          <w:rFonts w:asciiTheme="majorHAnsi" w:hAnsiTheme="majorHAnsi" w:cstheme="majorHAnsi"/>
          <w:b/>
          <w:bCs/>
          <w:sz w:val="26"/>
          <w:szCs w:val="28"/>
          <w:lang w:val="sv-SE"/>
        </w:rPr>
      </w:pPr>
      <w:r w:rsidRPr="00067619">
        <w:rPr>
          <w:rFonts w:asciiTheme="majorHAnsi" w:hAnsiTheme="majorHAnsi" w:cstheme="majorHAnsi"/>
          <w:b/>
          <w:bCs/>
          <w:sz w:val="26"/>
          <w:szCs w:val="28"/>
          <w:lang w:val="sv-SE"/>
        </w:rPr>
        <w:t>III. KẾT LUẬN</w:t>
      </w:r>
    </w:p>
    <w:p w:rsidR="00FE5DDF" w:rsidRPr="00216CB6" w:rsidRDefault="00FE5DDF" w:rsidP="002D6D87">
      <w:pPr>
        <w:spacing w:before="120" w:after="120"/>
        <w:ind w:firstLine="709"/>
        <w:jc w:val="both"/>
        <w:rPr>
          <w:rFonts w:asciiTheme="majorHAnsi" w:hAnsiTheme="majorHAnsi" w:cstheme="majorHAnsi"/>
          <w:b/>
          <w:sz w:val="28"/>
          <w:szCs w:val="28"/>
          <w:lang w:val="nl-NL"/>
        </w:rPr>
      </w:pPr>
      <w:r w:rsidRPr="00216CB6">
        <w:rPr>
          <w:rFonts w:asciiTheme="majorHAnsi" w:hAnsiTheme="majorHAnsi" w:cstheme="majorHAnsi"/>
          <w:b/>
          <w:sz w:val="28"/>
          <w:szCs w:val="28"/>
          <w:lang w:val="nl-NL"/>
        </w:rPr>
        <w:t>1. Kết quả, ưu điểm</w:t>
      </w:r>
    </w:p>
    <w:p w:rsidR="002F4C2D" w:rsidRPr="00216CB6" w:rsidRDefault="002F4C2D"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 Công ty hoạt động trong lĩnh vực </w:t>
      </w:r>
      <w:r w:rsidR="002D6437" w:rsidRPr="00216CB6">
        <w:rPr>
          <w:rFonts w:asciiTheme="majorHAnsi" w:hAnsiTheme="majorHAnsi" w:cstheme="majorHAnsi"/>
          <w:sz w:val="28"/>
          <w:szCs w:val="28"/>
          <w:lang w:val="nl-NL"/>
        </w:rPr>
        <w:t>khai thác, sản xuất đá</w:t>
      </w:r>
      <w:r w:rsidRPr="00216CB6">
        <w:rPr>
          <w:rFonts w:asciiTheme="majorHAnsi" w:hAnsiTheme="majorHAnsi" w:cstheme="majorHAnsi"/>
          <w:sz w:val="28"/>
          <w:szCs w:val="28"/>
          <w:lang w:val="nl-NL"/>
        </w:rPr>
        <w:t>,</w:t>
      </w:r>
      <w:r w:rsidR="00620088">
        <w:rPr>
          <w:rFonts w:asciiTheme="majorHAnsi" w:hAnsiTheme="majorHAnsi" w:cstheme="majorHAnsi"/>
          <w:sz w:val="28"/>
          <w:szCs w:val="28"/>
          <w:lang w:val="nl-NL"/>
        </w:rPr>
        <w:t xml:space="preserve"> </w:t>
      </w:r>
      <w:r w:rsidRPr="00216CB6">
        <w:rPr>
          <w:rFonts w:asciiTheme="majorHAnsi" w:hAnsiTheme="majorHAnsi" w:cstheme="majorHAnsi"/>
          <w:sz w:val="28"/>
          <w:szCs w:val="28"/>
          <w:lang w:val="nl-NL"/>
        </w:rPr>
        <w:t>trong điều kiện khó khăn chung do thắt chặt đầu tư công</w:t>
      </w:r>
      <w:r w:rsidR="00CF6B99" w:rsidRPr="00216CB6">
        <w:rPr>
          <w:rFonts w:asciiTheme="majorHAnsi" w:hAnsiTheme="majorHAnsi" w:cstheme="majorHAnsi"/>
          <w:sz w:val="28"/>
          <w:szCs w:val="28"/>
          <w:lang w:val="nl-NL"/>
        </w:rPr>
        <w:t>, ảnh hưởng của tình hình dịch bệnh Covit 19</w:t>
      </w:r>
      <w:r w:rsidRPr="00216CB6">
        <w:rPr>
          <w:rFonts w:asciiTheme="majorHAnsi" w:hAnsiTheme="majorHAnsi" w:cstheme="majorHAnsi"/>
          <w:sz w:val="28"/>
          <w:szCs w:val="28"/>
          <w:lang w:val="nl-NL"/>
        </w:rPr>
        <w:t xml:space="preserve"> nhưng </w:t>
      </w:r>
      <w:r w:rsidR="00BC6663" w:rsidRPr="00216CB6">
        <w:rPr>
          <w:rFonts w:asciiTheme="majorHAnsi" w:hAnsiTheme="majorHAnsi" w:cstheme="majorHAnsi"/>
          <w:sz w:val="28"/>
          <w:szCs w:val="28"/>
          <w:lang w:val="nl-NL"/>
        </w:rPr>
        <w:t xml:space="preserve">Ban </w:t>
      </w:r>
      <w:r w:rsidR="00A033F2" w:rsidRPr="00216CB6">
        <w:rPr>
          <w:rFonts w:asciiTheme="majorHAnsi" w:hAnsiTheme="majorHAnsi" w:cstheme="majorHAnsi"/>
          <w:sz w:val="28"/>
          <w:szCs w:val="28"/>
          <w:lang w:val="nl-NL"/>
        </w:rPr>
        <w:t xml:space="preserve">Giám đốc </w:t>
      </w:r>
      <w:r w:rsidRPr="00216CB6">
        <w:rPr>
          <w:rFonts w:asciiTheme="majorHAnsi" w:hAnsiTheme="majorHAnsi" w:cstheme="majorHAnsi"/>
          <w:sz w:val="28"/>
          <w:szCs w:val="28"/>
          <w:lang w:val="nl-NL"/>
        </w:rPr>
        <w:t xml:space="preserve">đã tích cực, </w:t>
      </w:r>
      <w:r w:rsidR="00293A0D" w:rsidRPr="00216CB6">
        <w:rPr>
          <w:rFonts w:asciiTheme="majorHAnsi" w:hAnsiTheme="majorHAnsi" w:cstheme="majorHAnsi"/>
          <w:sz w:val="28"/>
          <w:szCs w:val="28"/>
          <w:lang w:val="nl-NL"/>
        </w:rPr>
        <w:t xml:space="preserve">năng </w:t>
      </w:r>
      <w:r w:rsidRPr="00216CB6">
        <w:rPr>
          <w:rFonts w:asciiTheme="majorHAnsi" w:hAnsiTheme="majorHAnsi" w:cstheme="majorHAnsi"/>
          <w:sz w:val="28"/>
          <w:szCs w:val="28"/>
          <w:lang w:val="nl-NL"/>
        </w:rPr>
        <w:t>động</w:t>
      </w:r>
      <w:r w:rsidR="008A6723">
        <w:rPr>
          <w:rFonts w:asciiTheme="majorHAnsi" w:hAnsiTheme="majorHAnsi" w:cstheme="majorHAnsi"/>
          <w:sz w:val="28"/>
          <w:szCs w:val="28"/>
          <w:lang w:val="nl-NL"/>
        </w:rPr>
        <w:t xml:space="preserve"> sản xuất,</w:t>
      </w:r>
      <w:r w:rsidRPr="00216CB6">
        <w:rPr>
          <w:rFonts w:asciiTheme="majorHAnsi" w:hAnsiTheme="majorHAnsi" w:cstheme="majorHAnsi"/>
          <w:sz w:val="28"/>
          <w:szCs w:val="28"/>
          <w:lang w:val="nl-NL"/>
        </w:rPr>
        <w:t xml:space="preserve"> tìm kiếm </w:t>
      </w:r>
      <w:r w:rsidR="008A6723">
        <w:rPr>
          <w:rFonts w:asciiTheme="majorHAnsi" w:hAnsiTheme="majorHAnsi" w:cstheme="majorHAnsi"/>
          <w:sz w:val="28"/>
          <w:szCs w:val="28"/>
          <w:lang w:val="nl-NL"/>
        </w:rPr>
        <w:t>thị trường tiêu thụ sản phẩm;</w:t>
      </w:r>
      <w:r w:rsidR="00620088">
        <w:rPr>
          <w:rFonts w:asciiTheme="majorHAnsi" w:hAnsiTheme="majorHAnsi" w:cstheme="majorHAnsi"/>
          <w:sz w:val="28"/>
          <w:szCs w:val="28"/>
          <w:lang w:val="nl-NL"/>
        </w:rPr>
        <w:t xml:space="preserve"> </w:t>
      </w:r>
      <w:r w:rsidR="00293A0D" w:rsidRPr="00216CB6">
        <w:rPr>
          <w:rFonts w:asciiTheme="majorHAnsi" w:hAnsiTheme="majorHAnsi" w:cstheme="majorHAnsi"/>
          <w:sz w:val="28"/>
          <w:szCs w:val="28"/>
          <w:lang w:val="nl-NL"/>
        </w:rPr>
        <w:t>tạo việc làm và thu nhập cho lao động,</w:t>
      </w:r>
      <w:r w:rsidR="002D6437" w:rsidRPr="00216CB6">
        <w:rPr>
          <w:rFonts w:asciiTheme="majorHAnsi" w:hAnsiTheme="majorHAnsi" w:cstheme="majorHAnsi"/>
          <w:sz w:val="28"/>
          <w:szCs w:val="28"/>
          <w:lang w:val="nl-NL"/>
        </w:rPr>
        <w:t xml:space="preserve"> doanh thu năm 2020 tăng 28% so với năm 2019</w:t>
      </w:r>
      <w:r w:rsidR="007402A5">
        <w:rPr>
          <w:rFonts w:asciiTheme="majorHAnsi" w:hAnsiTheme="majorHAnsi" w:cstheme="majorHAnsi"/>
          <w:sz w:val="28"/>
          <w:szCs w:val="28"/>
          <w:lang w:val="nl-NL"/>
        </w:rPr>
        <w:t>, kết quả kinh doanh có lãi</w:t>
      </w:r>
      <w:r w:rsidRPr="00216CB6">
        <w:rPr>
          <w:rFonts w:asciiTheme="majorHAnsi" w:hAnsiTheme="majorHAnsi" w:cstheme="majorHAnsi"/>
          <w:sz w:val="28"/>
          <w:szCs w:val="28"/>
          <w:lang w:val="nl-NL"/>
        </w:rPr>
        <w:t>.</w:t>
      </w:r>
    </w:p>
    <w:p w:rsidR="002F4C2D" w:rsidRPr="00216CB6" w:rsidRDefault="002F4C2D"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 Tổ chức bộ máy </w:t>
      </w:r>
      <w:r w:rsidR="008176E7">
        <w:rPr>
          <w:rFonts w:asciiTheme="majorHAnsi" w:hAnsiTheme="majorHAnsi" w:cstheme="majorHAnsi"/>
          <w:sz w:val="28"/>
          <w:szCs w:val="28"/>
          <w:lang w:val="nl-NL"/>
        </w:rPr>
        <w:t xml:space="preserve">nhỏ, gọn </w:t>
      </w:r>
      <w:r w:rsidR="00334495" w:rsidRPr="00216CB6">
        <w:rPr>
          <w:rFonts w:asciiTheme="majorHAnsi" w:hAnsiTheme="majorHAnsi" w:cstheme="majorHAnsi"/>
          <w:sz w:val="28"/>
          <w:szCs w:val="28"/>
          <w:lang w:val="nl-NL"/>
        </w:rPr>
        <w:t xml:space="preserve">phù </w:t>
      </w:r>
      <w:r w:rsidRPr="00216CB6">
        <w:rPr>
          <w:rFonts w:asciiTheme="majorHAnsi" w:hAnsiTheme="majorHAnsi" w:cstheme="majorHAnsi"/>
          <w:sz w:val="28"/>
          <w:szCs w:val="28"/>
          <w:lang w:val="nl-NL"/>
        </w:rPr>
        <w:t>hợp với quy mô sản xuất và loại hình hoạt động của doanh nghiệp. Thực hiện mở các loại sổ sách kế toán đầy đủ để theo dõi các nghiệp vụ phát sinh trong quá trình hoạt động sản xuất kinh doanh. B</w:t>
      </w:r>
      <w:r w:rsidRPr="00216CB6">
        <w:rPr>
          <w:rFonts w:asciiTheme="majorHAnsi" w:hAnsiTheme="majorHAnsi" w:cstheme="majorHAnsi"/>
          <w:sz w:val="28"/>
          <w:szCs w:val="28"/>
          <w:lang w:val="vi-VN"/>
        </w:rPr>
        <w:t xml:space="preserve">áo cáo tài chính được lập </w:t>
      </w:r>
      <w:r w:rsidRPr="00216CB6">
        <w:rPr>
          <w:rFonts w:asciiTheme="majorHAnsi" w:hAnsiTheme="majorHAnsi" w:cstheme="majorHAnsi"/>
          <w:sz w:val="28"/>
          <w:szCs w:val="28"/>
          <w:lang w:val="nl-NL"/>
        </w:rPr>
        <w:t xml:space="preserve">cơ bản </w:t>
      </w:r>
      <w:r w:rsidRPr="00216CB6">
        <w:rPr>
          <w:rFonts w:asciiTheme="majorHAnsi" w:hAnsiTheme="majorHAnsi" w:cstheme="majorHAnsi"/>
          <w:sz w:val="28"/>
          <w:szCs w:val="28"/>
          <w:lang w:val="vi-VN"/>
        </w:rPr>
        <w:t>đảm bảo nội dung, thời gian quy định;</w:t>
      </w:r>
      <w:r w:rsidRPr="00216CB6">
        <w:rPr>
          <w:rFonts w:asciiTheme="majorHAnsi" w:hAnsiTheme="majorHAnsi" w:cstheme="majorHAnsi"/>
          <w:sz w:val="28"/>
          <w:szCs w:val="28"/>
          <w:lang w:val="nl-NL"/>
        </w:rPr>
        <w:t xml:space="preserve"> số liệu trên báo cáo tài chính phù hợp với số liệu ở các loại sổ tài khoản. Định kỳ hằng </w:t>
      </w:r>
      <w:r w:rsidR="00B24D2F">
        <w:rPr>
          <w:rFonts w:asciiTheme="majorHAnsi" w:hAnsiTheme="majorHAnsi" w:cstheme="majorHAnsi"/>
          <w:sz w:val="28"/>
          <w:szCs w:val="28"/>
          <w:lang w:val="nl-NL"/>
        </w:rPr>
        <w:t>quý</w:t>
      </w:r>
      <w:r w:rsidR="0003298A" w:rsidRPr="00216CB6">
        <w:rPr>
          <w:rFonts w:asciiTheme="majorHAnsi" w:hAnsiTheme="majorHAnsi" w:cstheme="majorHAnsi"/>
          <w:sz w:val="28"/>
          <w:szCs w:val="28"/>
          <w:lang w:val="nl-NL"/>
        </w:rPr>
        <w:t xml:space="preserve"> đã</w:t>
      </w:r>
      <w:r w:rsidRPr="00216CB6">
        <w:rPr>
          <w:rFonts w:asciiTheme="majorHAnsi" w:hAnsiTheme="majorHAnsi" w:cstheme="majorHAnsi"/>
          <w:sz w:val="28"/>
          <w:szCs w:val="28"/>
          <w:lang w:val="nl-NL"/>
        </w:rPr>
        <w:t xml:space="preserve"> kê khai thuế GTGT</w:t>
      </w:r>
      <w:r w:rsidR="002D6437" w:rsidRPr="00216CB6">
        <w:rPr>
          <w:rFonts w:asciiTheme="majorHAnsi" w:hAnsiTheme="majorHAnsi" w:cstheme="majorHAnsi"/>
          <w:sz w:val="28"/>
          <w:szCs w:val="28"/>
          <w:lang w:val="nl-NL"/>
        </w:rPr>
        <w:t>, TNMT</w:t>
      </w:r>
      <w:r w:rsidRPr="00216CB6">
        <w:rPr>
          <w:rFonts w:asciiTheme="majorHAnsi" w:hAnsiTheme="majorHAnsi" w:cstheme="majorHAnsi"/>
          <w:sz w:val="28"/>
          <w:szCs w:val="28"/>
          <w:lang w:val="nl-NL"/>
        </w:rPr>
        <w:t xml:space="preserve"> đầy đủ, đúng thời gian; kê khai và </w:t>
      </w:r>
      <w:r w:rsidRPr="00216CB6">
        <w:rPr>
          <w:rFonts w:asciiTheme="majorHAnsi" w:hAnsiTheme="majorHAnsi" w:cstheme="majorHAnsi"/>
          <w:sz w:val="28"/>
          <w:szCs w:val="28"/>
          <w:lang w:val="vi-VN"/>
        </w:rPr>
        <w:t xml:space="preserve">quyết toán </w:t>
      </w:r>
      <w:r w:rsidRPr="00216CB6">
        <w:rPr>
          <w:rFonts w:asciiTheme="majorHAnsi" w:hAnsiTheme="majorHAnsi" w:cstheme="majorHAnsi"/>
          <w:sz w:val="28"/>
          <w:szCs w:val="28"/>
          <w:lang w:val="nl-NL"/>
        </w:rPr>
        <w:t xml:space="preserve">các loại </w:t>
      </w:r>
      <w:r w:rsidRPr="00216CB6">
        <w:rPr>
          <w:rFonts w:asciiTheme="majorHAnsi" w:hAnsiTheme="majorHAnsi" w:cstheme="majorHAnsi"/>
          <w:sz w:val="28"/>
          <w:szCs w:val="28"/>
          <w:lang w:val="vi-VN"/>
        </w:rPr>
        <w:t>thuế</w:t>
      </w:r>
      <w:r w:rsidRPr="00216CB6">
        <w:rPr>
          <w:rFonts w:asciiTheme="majorHAnsi" w:hAnsiTheme="majorHAnsi" w:cstheme="majorHAnsi"/>
          <w:sz w:val="28"/>
          <w:szCs w:val="28"/>
          <w:lang w:val="nl-NL"/>
        </w:rPr>
        <w:t xml:space="preserve">TNDN, TNCN kịp thời, đúng nội dung mẫu biểu. </w:t>
      </w:r>
    </w:p>
    <w:p w:rsidR="002F4C2D" w:rsidRPr="00216CB6" w:rsidRDefault="002F4C2D"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Lao động làm việc tại Công ty được ký hợp đồng lao động theo quy định tại Điều 23, Bộ luật Lao động năm 2012; nội dung hợp đồng lao động thể hiện đầy đủ các mục quyền và nghĩa vụ của người lao động và người sử dụng lao động. Thực hiện chi trả tiền công, các khoản lương, thưởng cho người lao động kịp thời, chứng từ đầy đủ.</w:t>
      </w:r>
    </w:p>
    <w:p w:rsidR="0003298A" w:rsidRPr="00216CB6" w:rsidRDefault="00383ED5"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 Công ty thuê </w:t>
      </w:r>
      <w:r w:rsidR="006370BA" w:rsidRPr="00216CB6">
        <w:rPr>
          <w:rFonts w:asciiTheme="majorHAnsi" w:hAnsiTheme="majorHAnsi" w:cstheme="majorHAnsi"/>
          <w:sz w:val="28"/>
          <w:szCs w:val="28"/>
          <w:lang w:val="nl-NL"/>
        </w:rPr>
        <w:t xml:space="preserve">02 </w:t>
      </w:r>
      <w:r w:rsidRPr="00216CB6">
        <w:rPr>
          <w:rFonts w:asciiTheme="majorHAnsi" w:hAnsiTheme="majorHAnsi" w:cstheme="majorHAnsi"/>
          <w:sz w:val="28"/>
          <w:szCs w:val="28"/>
          <w:lang w:val="nl-NL"/>
        </w:rPr>
        <w:t xml:space="preserve">thửa đất </w:t>
      </w:r>
      <w:r w:rsidR="0003298A" w:rsidRPr="00216CB6">
        <w:rPr>
          <w:rFonts w:asciiTheme="majorHAnsi" w:hAnsiTheme="majorHAnsi" w:cstheme="majorHAnsi"/>
          <w:sz w:val="28"/>
          <w:szCs w:val="28"/>
          <w:lang w:val="nl-NL"/>
        </w:rPr>
        <w:t xml:space="preserve">tại </w:t>
      </w:r>
      <w:r w:rsidR="00223B43" w:rsidRPr="00216CB6">
        <w:rPr>
          <w:rFonts w:asciiTheme="majorHAnsi" w:hAnsiTheme="majorHAnsi" w:cstheme="majorHAnsi"/>
          <w:sz w:val="28"/>
          <w:szCs w:val="28"/>
          <w:lang w:val="nl-NL"/>
        </w:rPr>
        <w:t xml:space="preserve">xã </w:t>
      </w:r>
      <w:r w:rsidR="006370BA" w:rsidRPr="00216CB6">
        <w:rPr>
          <w:rFonts w:asciiTheme="majorHAnsi" w:hAnsiTheme="majorHAnsi" w:cstheme="majorHAnsi"/>
          <w:sz w:val="28"/>
          <w:szCs w:val="28"/>
          <w:lang w:val="nl-NL"/>
        </w:rPr>
        <w:t>Vượng Lộc, huyện Can Lộc</w:t>
      </w:r>
      <w:r w:rsidR="0003298A" w:rsidRPr="00216CB6">
        <w:rPr>
          <w:rFonts w:asciiTheme="majorHAnsi" w:hAnsiTheme="majorHAnsi" w:cstheme="majorHAnsi"/>
          <w:sz w:val="28"/>
          <w:szCs w:val="28"/>
          <w:lang w:val="nl-NL"/>
        </w:rPr>
        <w:t xml:space="preserve"> để </w:t>
      </w:r>
      <w:r w:rsidR="006370BA" w:rsidRPr="00216CB6">
        <w:rPr>
          <w:rFonts w:asciiTheme="majorHAnsi" w:hAnsiTheme="majorHAnsi" w:cstheme="majorHAnsi"/>
          <w:sz w:val="28"/>
          <w:szCs w:val="28"/>
          <w:lang w:val="nl-NL"/>
        </w:rPr>
        <w:t>sản xuất vật liệu xây dựng</w:t>
      </w:r>
      <w:r w:rsidRPr="00216CB6">
        <w:rPr>
          <w:rFonts w:asciiTheme="majorHAnsi" w:hAnsiTheme="majorHAnsi" w:cstheme="majorHAnsi"/>
          <w:sz w:val="28"/>
          <w:szCs w:val="28"/>
          <w:lang w:val="nl-NL"/>
        </w:rPr>
        <w:t>,</w:t>
      </w:r>
      <w:r w:rsidR="00E654A1">
        <w:rPr>
          <w:rFonts w:asciiTheme="majorHAnsi" w:hAnsiTheme="majorHAnsi" w:cstheme="majorHAnsi"/>
          <w:sz w:val="28"/>
          <w:szCs w:val="28"/>
          <w:lang w:val="nl-NL"/>
        </w:rPr>
        <w:t xml:space="preserve"> </w:t>
      </w:r>
      <w:r w:rsidRPr="00216CB6">
        <w:rPr>
          <w:rFonts w:asciiTheme="majorHAnsi" w:hAnsiTheme="majorHAnsi" w:cstheme="majorHAnsi"/>
          <w:sz w:val="28"/>
          <w:szCs w:val="28"/>
          <w:lang w:val="nl-NL"/>
        </w:rPr>
        <w:t xml:space="preserve">quá trình </w:t>
      </w:r>
      <w:r w:rsidR="00223B43" w:rsidRPr="00216CB6">
        <w:rPr>
          <w:rFonts w:asciiTheme="majorHAnsi" w:hAnsiTheme="majorHAnsi" w:cstheme="majorHAnsi"/>
          <w:sz w:val="28"/>
          <w:szCs w:val="28"/>
          <w:lang w:val="nl-NL"/>
        </w:rPr>
        <w:t>thuê đất</w:t>
      </w:r>
      <w:r w:rsidR="0003298A" w:rsidRPr="00216CB6">
        <w:rPr>
          <w:rFonts w:asciiTheme="majorHAnsi" w:hAnsiTheme="majorHAnsi" w:cstheme="majorHAnsi"/>
          <w:sz w:val="28"/>
          <w:szCs w:val="28"/>
          <w:lang w:val="nl-NL"/>
        </w:rPr>
        <w:t xml:space="preserve"> không phát sinh tranh chấp</w:t>
      </w:r>
      <w:r w:rsidRPr="00216CB6">
        <w:rPr>
          <w:rFonts w:asciiTheme="majorHAnsi" w:hAnsiTheme="majorHAnsi" w:cstheme="majorHAnsi"/>
          <w:sz w:val="28"/>
          <w:szCs w:val="28"/>
          <w:lang w:val="nl-NL"/>
        </w:rPr>
        <w:t>.</w:t>
      </w:r>
      <w:r w:rsidR="00620088">
        <w:rPr>
          <w:rFonts w:asciiTheme="majorHAnsi" w:hAnsiTheme="majorHAnsi" w:cstheme="majorHAnsi"/>
          <w:sz w:val="28"/>
          <w:szCs w:val="28"/>
          <w:lang w:val="nl-NL"/>
        </w:rPr>
        <w:t xml:space="preserve"> </w:t>
      </w:r>
      <w:r w:rsidR="0003298A" w:rsidRPr="00216CB6">
        <w:rPr>
          <w:rFonts w:asciiTheme="majorHAnsi" w:hAnsiTheme="majorHAnsi" w:cstheme="majorHAnsi"/>
          <w:sz w:val="28"/>
          <w:szCs w:val="28"/>
          <w:lang w:val="vi-VN"/>
        </w:rPr>
        <w:t>Công ty thực hiện theo dõi, đóng nộp đầy đủ tiền thuê đất, tiền thuế sử dụng đất phi nông nghiệp</w:t>
      </w:r>
      <w:r w:rsidR="004F372D" w:rsidRPr="00BF3E8F">
        <w:rPr>
          <w:rFonts w:asciiTheme="majorHAnsi" w:hAnsiTheme="majorHAnsi" w:cstheme="majorHAnsi"/>
          <w:sz w:val="28"/>
          <w:szCs w:val="28"/>
          <w:lang w:val="nl-NL"/>
        </w:rPr>
        <w:t xml:space="preserve"> theo thông báo của cơ quan có thẩm quyền</w:t>
      </w:r>
      <w:r w:rsidR="0003298A" w:rsidRPr="00216CB6">
        <w:rPr>
          <w:rFonts w:asciiTheme="majorHAnsi" w:hAnsiTheme="majorHAnsi" w:cstheme="majorHAnsi"/>
          <w:sz w:val="28"/>
          <w:szCs w:val="28"/>
          <w:lang w:val="nl-NL"/>
        </w:rPr>
        <w:t>.</w:t>
      </w:r>
    </w:p>
    <w:p w:rsidR="00FE5DDF" w:rsidRPr="00216CB6" w:rsidRDefault="00FE5DDF" w:rsidP="002D6D87">
      <w:pPr>
        <w:pStyle w:val="ListParagraph"/>
        <w:spacing w:before="120" w:after="120"/>
        <w:ind w:left="0" w:firstLine="709"/>
        <w:contextualSpacing w:val="0"/>
        <w:jc w:val="both"/>
        <w:rPr>
          <w:rFonts w:asciiTheme="majorHAnsi" w:hAnsiTheme="majorHAnsi" w:cstheme="majorHAnsi"/>
          <w:b/>
          <w:sz w:val="28"/>
          <w:szCs w:val="28"/>
          <w:lang w:val="sv-SE"/>
        </w:rPr>
      </w:pPr>
      <w:r w:rsidRPr="00216CB6">
        <w:rPr>
          <w:rFonts w:asciiTheme="majorHAnsi" w:hAnsiTheme="majorHAnsi" w:cstheme="majorHAnsi"/>
          <w:b/>
          <w:sz w:val="28"/>
          <w:szCs w:val="28"/>
          <w:lang w:val="nl-NL"/>
        </w:rPr>
        <w:t xml:space="preserve">2. Hạn chế, </w:t>
      </w:r>
      <w:r w:rsidRPr="00216CB6">
        <w:rPr>
          <w:rFonts w:asciiTheme="majorHAnsi" w:hAnsiTheme="majorHAnsi" w:cstheme="majorHAnsi"/>
          <w:b/>
          <w:sz w:val="28"/>
          <w:szCs w:val="28"/>
          <w:lang w:val="sv-SE"/>
        </w:rPr>
        <w:t>tồn tại</w:t>
      </w:r>
    </w:p>
    <w:p w:rsidR="00FE5DDF" w:rsidRPr="00216CB6" w:rsidRDefault="00FE5DDF" w:rsidP="002D6D87">
      <w:pPr>
        <w:spacing w:before="120" w:after="120"/>
        <w:ind w:firstLine="709"/>
        <w:jc w:val="both"/>
        <w:rPr>
          <w:rFonts w:asciiTheme="majorHAnsi" w:hAnsiTheme="majorHAnsi" w:cstheme="majorHAnsi"/>
          <w:b/>
          <w:i/>
          <w:sz w:val="28"/>
          <w:szCs w:val="28"/>
          <w:lang w:val="nl-NL"/>
        </w:rPr>
      </w:pPr>
      <w:r w:rsidRPr="00216CB6">
        <w:rPr>
          <w:rFonts w:asciiTheme="majorHAnsi" w:hAnsiTheme="majorHAnsi" w:cstheme="majorHAnsi"/>
          <w:b/>
          <w:i/>
          <w:sz w:val="28"/>
          <w:szCs w:val="28"/>
          <w:lang w:val="nl-NL"/>
        </w:rPr>
        <w:t>- Thực hiện quy định Luật Doanh nghiệp</w:t>
      </w:r>
      <w:r w:rsidR="00B423F5" w:rsidRPr="00216CB6">
        <w:rPr>
          <w:rFonts w:asciiTheme="majorHAnsi" w:hAnsiTheme="majorHAnsi" w:cstheme="majorHAnsi"/>
          <w:b/>
          <w:i/>
          <w:sz w:val="28"/>
          <w:szCs w:val="28"/>
          <w:lang w:val="nl-NL"/>
        </w:rPr>
        <w:t xml:space="preserve">: </w:t>
      </w:r>
      <w:r w:rsidR="00B423F5" w:rsidRPr="00216CB6">
        <w:rPr>
          <w:rFonts w:asciiTheme="majorHAnsi" w:hAnsiTheme="majorHAnsi" w:cstheme="majorHAnsi"/>
          <w:sz w:val="28"/>
          <w:szCs w:val="28"/>
          <w:lang w:val="nl-NL"/>
        </w:rPr>
        <w:t>Đã nêu cụ thể ở mục 1. Phần II ở trên.</w:t>
      </w:r>
    </w:p>
    <w:p w:rsidR="000B40FF" w:rsidRPr="00216CB6" w:rsidRDefault="00FE5DDF"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b/>
          <w:i/>
          <w:sz w:val="28"/>
          <w:szCs w:val="28"/>
          <w:lang w:val="nl-NL"/>
        </w:rPr>
        <w:t>- Thực hiện quy định của pháp luật về tài chính - kế toán, thuế</w:t>
      </w:r>
      <w:r w:rsidR="00B423F5" w:rsidRPr="00216CB6">
        <w:rPr>
          <w:rFonts w:asciiTheme="majorHAnsi" w:hAnsiTheme="majorHAnsi" w:cstheme="majorHAnsi"/>
          <w:b/>
          <w:i/>
          <w:sz w:val="28"/>
          <w:szCs w:val="28"/>
          <w:lang w:val="nl-NL"/>
        </w:rPr>
        <w:t xml:space="preserve">: </w:t>
      </w:r>
      <w:r w:rsidR="006370BA" w:rsidRPr="00216CB6">
        <w:rPr>
          <w:rFonts w:asciiTheme="majorHAnsi" w:hAnsiTheme="majorHAnsi" w:cstheme="majorHAnsi"/>
          <w:sz w:val="28"/>
          <w:szCs w:val="28"/>
          <w:lang w:val="nl-NL"/>
        </w:rPr>
        <w:t>Một số sai</w:t>
      </w:r>
      <w:r w:rsidR="00451EE9" w:rsidRPr="00216CB6">
        <w:rPr>
          <w:rFonts w:asciiTheme="majorHAnsi" w:hAnsiTheme="majorHAnsi" w:cstheme="majorHAnsi"/>
          <w:sz w:val="28"/>
          <w:szCs w:val="28"/>
          <w:lang w:val="nl-NL"/>
        </w:rPr>
        <w:t xml:space="preserve"> sót </w:t>
      </w:r>
      <w:r w:rsidR="005E17A4">
        <w:rPr>
          <w:rFonts w:asciiTheme="majorHAnsi" w:hAnsiTheme="majorHAnsi" w:cstheme="majorHAnsi"/>
          <w:sz w:val="28"/>
          <w:szCs w:val="28"/>
          <w:lang w:val="nl-NL"/>
        </w:rPr>
        <w:t xml:space="preserve">về </w:t>
      </w:r>
      <w:r w:rsidR="004F372D" w:rsidRPr="00BF3E8F">
        <w:rPr>
          <w:rFonts w:asciiTheme="majorHAnsi" w:hAnsiTheme="majorHAnsi" w:cstheme="majorHAnsi"/>
          <w:sz w:val="28"/>
          <w:szCs w:val="28"/>
          <w:lang w:val="nl-NL"/>
        </w:rPr>
        <w:t>mẫu chứng từ</w:t>
      </w:r>
      <w:r w:rsidR="00334495">
        <w:rPr>
          <w:rFonts w:asciiTheme="majorHAnsi" w:hAnsiTheme="majorHAnsi" w:cstheme="majorHAnsi"/>
          <w:sz w:val="28"/>
          <w:szCs w:val="28"/>
          <w:lang w:val="nl-NL"/>
        </w:rPr>
        <w:t>,</w:t>
      </w:r>
      <w:r w:rsidR="00620088">
        <w:rPr>
          <w:rFonts w:asciiTheme="majorHAnsi" w:hAnsiTheme="majorHAnsi" w:cstheme="majorHAnsi"/>
          <w:sz w:val="28"/>
          <w:szCs w:val="28"/>
          <w:lang w:val="nl-NL"/>
        </w:rPr>
        <w:t xml:space="preserve"> </w:t>
      </w:r>
      <w:r w:rsidR="004F372D" w:rsidRPr="00BF3E8F">
        <w:rPr>
          <w:rFonts w:asciiTheme="majorHAnsi" w:hAnsiTheme="majorHAnsi" w:cstheme="majorHAnsi"/>
          <w:sz w:val="28"/>
          <w:szCs w:val="28"/>
          <w:lang w:val="nl-NL"/>
        </w:rPr>
        <w:t>mẫu sổ cái tài khoản,</w:t>
      </w:r>
      <w:r w:rsidR="00451EE9" w:rsidRPr="00216CB6">
        <w:rPr>
          <w:rFonts w:asciiTheme="majorHAnsi" w:hAnsiTheme="majorHAnsi" w:cstheme="majorHAnsi"/>
          <w:sz w:val="28"/>
          <w:szCs w:val="28"/>
          <w:lang w:val="nl-NL"/>
        </w:rPr>
        <w:t xml:space="preserve"> hạch toán </w:t>
      </w:r>
      <w:r w:rsidR="00451EE9" w:rsidRPr="00216CB6">
        <w:rPr>
          <w:rFonts w:asciiTheme="majorHAnsi" w:hAnsiTheme="majorHAnsi" w:cstheme="majorHAnsi"/>
          <w:sz w:val="28"/>
          <w:szCs w:val="28"/>
          <w:lang w:val="vi-VN"/>
        </w:rPr>
        <w:t xml:space="preserve">chi phí, </w:t>
      </w:r>
      <w:r w:rsidR="002A26B7" w:rsidRPr="00216CB6">
        <w:rPr>
          <w:rFonts w:asciiTheme="majorHAnsi" w:hAnsiTheme="majorHAnsi" w:cstheme="majorHAnsi"/>
          <w:sz w:val="28"/>
          <w:szCs w:val="28"/>
          <w:lang w:val="nl-NL"/>
        </w:rPr>
        <w:t>c</w:t>
      </w:r>
      <w:r w:rsidR="007E2C3C" w:rsidRPr="00216CB6">
        <w:rPr>
          <w:rFonts w:asciiTheme="majorHAnsi" w:hAnsiTheme="majorHAnsi" w:cstheme="majorHAnsi"/>
          <w:sz w:val="28"/>
          <w:szCs w:val="28"/>
          <w:lang w:val="nl-NL"/>
        </w:rPr>
        <w:t xml:space="preserve">hưa thực hiện </w:t>
      </w:r>
      <w:r w:rsidR="007E2C3C" w:rsidRPr="00216CB6">
        <w:rPr>
          <w:rFonts w:asciiTheme="majorHAnsi" w:hAnsiTheme="majorHAnsi" w:cstheme="majorHAnsi"/>
          <w:sz w:val="28"/>
          <w:szCs w:val="28"/>
          <w:shd w:val="clear" w:color="auto" w:fill="FFFFFF"/>
          <w:lang w:val="nl-NL"/>
        </w:rPr>
        <w:t xml:space="preserve">tạm nộp thuế TNDN hằng quý, </w:t>
      </w:r>
      <w:r w:rsidR="00C45C04" w:rsidRPr="00216CB6">
        <w:rPr>
          <w:rFonts w:asciiTheme="majorHAnsi" w:hAnsiTheme="majorHAnsi" w:cstheme="majorHAnsi"/>
          <w:sz w:val="28"/>
          <w:szCs w:val="28"/>
          <w:lang w:val="nl-NL"/>
        </w:rPr>
        <w:t xml:space="preserve">nợ đọng thuế </w:t>
      </w:r>
      <w:r w:rsidR="00C45C04">
        <w:rPr>
          <w:rFonts w:asciiTheme="majorHAnsi" w:hAnsiTheme="majorHAnsi" w:cstheme="majorHAnsi"/>
          <w:sz w:val="28"/>
          <w:szCs w:val="28"/>
          <w:lang w:val="nl-NL"/>
        </w:rPr>
        <w:t xml:space="preserve">cuối năm khá lớn </w:t>
      </w:r>
      <w:r w:rsidR="007E2C3C" w:rsidRPr="00216CB6">
        <w:rPr>
          <w:rFonts w:asciiTheme="majorHAnsi" w:hAnsiTheme="majorHAnsi" w:cstheme="majorHAnsi"/>
          <w:sz w:val="28"/>
          <w:szCs w:val="28"/>
          <w:lang w:val="nl-NL"/>
        </w:rPr>
        <w:t>đ</w:t>
      </w:r>
      <w:r w:rsidR="00B423F5" w:rsidRPr="00216CB6">
        <w:rPr>
          <w:rFonts w:asciiTheme="majorHAnsi" w:hAnsiTheme="majorHAnsi" w:cstheme="majorHAnsi"/>
          <w:sz w:val="28"/>
          <w:szCs w:val="28"/>
          <w:lang w:val="nl-NL"/>
        </w:rPr>
        <w:t>ã nêu cụ thể ở mục 2. Phần II ở trên.</w:t>
      </w:r>
    </w:p>
    <w:p w:rsidR="00FE5DDF" w:rsidRDefault="00FE5DDF"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b/>
          <w:i/>
          <w:sz w:val="28"/>
          <w:szCs w:val="28"/>
          <w:lang w:val="pt-BR"/>
        </w:rPr>
        <w:lastRenderedPageBreak/>
        <w:t>- Thực hiện quy định của pháp luật về lao động</w:t>
      </w:r>
      <w:r w:rsidR="00B423F5" w:rsidRPr="00216CB6">
        <w:rPr>
          <w:rFonts w:asciiTheme="majorHAnsi" w:hAnsiTheme="majorHAnsi" w:cstheme="majorHAnsi"/>
          <w:b/>
          <w:i/>
          <w:sz w:val="28"/>
          <w:szCs w:val="28"/>
          <w:lang w:val="pt-BR"/>
        </w:rPr>
        <w:t xml:space="preserve">: </w:t>
      </w:r>
      <w:r w:rsidR="00B423F5" w:rsidRPr="00216CB6">
        <w:rPr>
          <w:rFonts w:asciiTheme="majorHAnsi" w:hAnsiTheme="majorHAnsi" w:cstheme="majorHAnsi"/>
          <w:sz w:val="28"/>
          <w:szCs w:val="28"/>
          <w:lang w:val="nl-NL"/>
        </w:rPr>
        <w:t>Đã nêu cụ thể ở mục 3. Phần II ở trên.</w:t>
      </w:r>
    </w:p>
    <w:p w:rsidR="004E57E9" w:rsidRPr="004E57E9" w:rsidRDefault="004E57E9" w:rsidP="002D6D87">
      <w:pPr>
        <w:spacing w:before="120" w:after="120"/>
        <w:ind w:firstLine="709"/>
        <w:jc w:val="both"/>
        <w:rPr>
          <w:rFonts w:asciiTheme="majorHAnsi" w:hAnsiTheme="majorHAnsi" w:cstheme="majorHAnsi"/>
          <w:b/>
          <w:sz w:val="28"/>
          <w:szCs w:val="28"/>
          <w:lang w:val="pt-BR"/>
        </w:rPr>
      </w:pPr>
      <w:r w:rsidRPr="004E57E9">
        <w:rPr>
          <w:rFonts w:asciiTheme="majorHAnsi" w:hAnsiTheme="majorHAnsi" w:cstheme="majorHAnsi"/>
          <w:b/>
          <w:i/>
          <w:sz w:val="28"/>
          <w:szCs w:val="28"/>
          <w:lang w:val="nl-NL"/>
        </w:rPr>
        <w:t>- Thực hiện pháp luật về đất đai</w:t>
      </w:r>
      <w:r>
        <w:rPr>
          <w:rFonts w:asciiTheme="majorHAnsi" w:hAnsiTheme="majorHAnsi" w:cstheme="majorHAnsi"/>
          <w:b/>
          <w:i/>
          <w:sz w:val="28"/>
          <w:szCs w:val="28"/>
          <w:lang w:val="nl-NL"/>
        </w:rPr>
        <w:t xml:space="preserve">: </w:t>
      </w:r>
      <w:r w:rsidRPr="004E57E9">
        <w:rPr>
          <w:rFonts w:asciiTheme="majorHAnsi" w:hAnsiTheme="majorHAnsi" w:cstheme="majorHAnsi"/>
          <w:sz w:val="28"/>
          <w:szCs w:val="28"/>
          <w:lang w:val="nl-NL"/>
        </w:rPr>
        <w:t>Công ty chưa có giấy chứng nhận quyền sử dụng đất của 02 thửa đất đã sử dụng từ nhiều năm trước</w:t>
      </w:r>
      <w:r w:rsidR="00E654A1">
        <w:rPr>
          <w:rFonts w:asciiTheme="majorHAnsi" w:hAnsiTheme="majorHAnsi" w:cstheme="majorHAnsi"/>
          <w:sz w:val="28"/>
          <w:szCs w:val="28"/>
          <w:lang w:val="nl-NL"/>
        </w:rPr>
        <w:t>.</w:t>
      </w:r>
    </w:p>
    <w:p w:rsidR="00FE5DDF" w:rsidRPr="0030003D" w:rsidRDefault="00223B43" w:rsidP="002D6D87">
      <w:pPr>
        <w:spacing w:before="120" w:after="120"/>
        <w:ind w:firstLine="709"/>
        <w:jc w:val="both"/>
        <w:rPr>
          <w:rFonts w:asciiTheme="majorHAnsi" w:hAnsiTheme="majorHAnsi" w:cstheme="majorHAnsi"/>
          <w:b/>
          <w:bCs/>
          <w:sz w:val="26"/>
          <w:szCs w:val="28"/>
          <w:lang w:val="sv-SE"/>
        </w:rPr>
      </w:pPr>
      <w:r w:rsidRPr="0030003D">
        <w:rPr>
          <w:rFonts w:asciiTheme="majorHAnsi" w:hAnsiTheme="majorHAnsi" w:cstheme="majorHAnsi"/>
          <w:b/>
          <w:bCs/>
          <w:sz w:val="26"/>
          <w:szCs w:val="28"/>
          <w:lang w:val="sv-SE"/>
        </w:rPr>
        <w:t>I</w:t>
      </w:r>
      <w:r w:rsidR="005D4728" w:rsidRPr="0030003D">
        <w:rPr>
          <w:rFonts w:asciiTheme="majorHAnsi" w:hAnsiTheme="majorHAnsi" w:cstheme="majorHAnsi"/>
          <w:b/>
          <w:bCs/>
          <w:sz w:val="26"/>
          <w:szCs w:val="28"/>
          <w:lang w:val="sv-SE"/>
        </w:rPr>
        <w:t>V</w:t>
      </w:r>
      <w:r w:rsidR="00FE5DDF" w:rsidRPr="0030003D">
        <w:rPr>
          <w:rFonts w:asciiTheme="majorHAnsi" w:hAnsiTheme="majorHAnsi" w:cstheme="majorHAnsi"/>
          <w:b/>
          <w:bCs/>
          <w:sz w:val="26"/>
          <w:szCs w:val="28"/>
          <w:lang w:val="sv-SE"/>
        </w:rPr>
        <w:t>. KIẾN NGHỊ, XỬ LÝ</w:t>
      </w:r>
    </w:p>
    <w:p w:rsidR="00FE5DDF" w:rsidRPr="00216CB6" w:rsidRDefault="00FE5DDF"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Qua thanh tra, đề nghị Công ty tổ chức thực hiện </w:t>
      </w:r>
      <w:r w:rsidR="00BC6663" w:rsidRPr="00216CB6">
        <w:rPr>
          <w:rFonts w:asciiTheme="majorHAnsi" w:hAnsiTheme="majorHAnsi" w:cstheme="majorHAnsi"/>
          <w:sz w:val="28"/>
          <w:szCs w:val="28"/>
          <w:lang w:val="nl-NL"/>
        </w:rPr>
        <w:t xml:space="preserve">tốt </w:t>
      </w:r>
      <w:r w:rsidRPr="00216CB6">
        <w:rPr>
          <w:rFonts w:asciiTheme="majorHAnsi" w:hAnsiTheme="majorHAnsi" w:cstheme="majorHAnsi"/>
          <w:sz w:val="28"/>
          <w:szCs w:val="28"/>
          <w:lang w:val="nl-NL"/>
        </w:rPr>
        <w:t>các nội dung sau:</w:t>
      </w:r>
    </w:p>
    <w:p w:rsidR="00D6314E" w:rsidRPr="00216CB6" w:rsidRDefault="00D6314E" w:rsidP="002D6D87">
      <w:pPr>
        <w:spacing w:before="120" w:after="120"/>
        <w:ind w:firstLine="709"/>
        <w:jc w:val="both"/>
        <w:rPr>
          <w:rFonts w:asciiTheme="majorHAnsi" w:hAnsiTheme="majorHAnsi" w:cstheme="majorHAnsi"/>
          <w:b/>
          <w:i/>
          <w:sz w:val="28"/>
          <w:szCs w:val="28"/>
          <w:lang w:val="nl-NL"/>
        </w:rPr>
      </w:pPr>
      <w:r w:rsidRPr="00216CB6">
        <w:rPr>
          <w:rFonts w:asciiTheme="majorHAnsi" w:hAnsiTheme="majorHAnsi" w:cstheme="majorHAnsi"/>
          <w:b/>
          <w:i/>
          <w:sz w:val="28"/>
          <w:szCs w:val="28"/>
          <w:lang w:val="nl-NL"/>
        </w:rPr>
        <w:t>1. Về thực hiện quy định của pháp luật về doanh nghiệp</w:t>
      </w:r>
    </w:p>
    <w:p w:rsidR="006370BA" w:rsidRPr="00BF3E8F" w:rsidRDefault="004F372D" w:rsidP="002D6D87">
      <w:pPr>
        <w:spacing w:before="120" w:after="120"/>
        <w:ind w:firstLine="709"/>
        <w:jc w:val="both"/>
        <w:rPr>
          <w:rFonts w:asciiTheme="majorHAnsi" w:hAnsiTheme="majorHAnsi" w:cstheme="majorHAnsi"/>
          <w:sz w:val="28"/>
          <w:szCs w:val="28"/>
          <w:lang w:val="nl-NL"/>
        </w:rPr>
      </w:pPr>
      <w:r w:rsidRPr="00BF3E8F">
        <w:rPr>
          <w:rFonts w:asciiTheme="majorHAnsi" w:hAnsiTheme="majorHAnsi" w:cstheme="majorHAnsi"/>
          <w:sz w:val="28"/>
          <w:szCs w:val="28"/>
          <w:lang w:val="nl-NL"/>
        </w:rPr>
        <w:t>Hằng năm</w:t>
      </w:r>
      <w:r w:rsidR="006370BA" w:rsidRPr="00216CB6">
        <w:rPr>
          <w:rFonts w:asciiTheme="majorHAnsi" w:hAnsiTheme="majorHAnsi" w:cstheme="majorHAnsi"/>
          <w:sz w:val="28"/>
          <w:szCs w:val="28"/>
          <w:lang w:val="vi-VN"/>
        </w:rPr>
        <w:t xml:space="preserve"> tổ chức đại hội đồng cổ đông thường niên, họp hội đồng quản trị</w:t>
      </w:r>
      <w:r w:rsidRPr="00BF3E8F">
        <w:rPr>
          <w:rFonts w:asciiTheme="majorHAnsi" w:hAnsiTheme="majorHAnsi" w:cstheme="majorHAnsi"/>
          <w:sz w:val="28"/>
          <w:szCs w:val="28"/>
          <w:lang w:val="nl-NL"/>
        </w:rPr>
        <w:t xml:space="preserve"> để quyết nghị, xử lý các nội dung theo thẩm quyền, như</w:t>
      </w:r>
      <w:r w:rsidR="00FC064E">
        <w:rPr>
          <w:rFonts w:asciiTheme="majorHAnsi" w:hAnsiTheme="majorHAnsi" w:cstheme="majorHAnsi"/>
          <w:sz w:val="28"/>
          <w:szCs w:val="28"/>
          <w:lang w:val="nl-NL"/>
        </w:rPr>
        <w:t>:</w:t>
      </w:r>
      <w:r w:rsidR="005E38AA">
        <w:rPr>
          <w:rFonts w:asciiTheme="majorHAnsi" w:hAnsiTheme="majorHAnsi" w:cstheme="majorHAnsi"/>
          <w:sz w:val="28"/>
          <w:szCs w:val="28"/>
          <w:lang w:val="nl-NL"/>
        </w:rPr>
        <w:t xml:space="preserve"> </w:t>
      </w:r>
      <w:r w:rsidR="00FC064E">
        <w:rPr>
          <w:rFonts w:asciiTheme="majorHAnsi" w:hAnsiTheme="majorHAnsi" w:cstheme="majorHAnsi"/>
          <w:sz w:val="28"/>
          <w:szCs w:val="28"/>
          <w:lang w:val="nl-NL"/>
        </w:rPr>
        <w:t xml:space="preserve">Xử lý </w:t>
      </w:r>
      <w:r w:rsidRPr="00BF3E8F">
        <w:rPr>
          <w:rFonts w:asciiTheme="majorHAnsi" w:hAnsiTheme="majorHAnsi" w:cstheme="majorHAnsi"/>
          <w:sz w:val="28"/>
          <w:szCs w:val="28"/>
          <w:lang w:val="nl-NL"/>
        </w:rPr>
        <w:t>lợi nhuận sau thuế</w:t>
      </w:r>
      <w:r w:rsidR="006370BA" w:rsidRPr="00216CB6">
        <w:rPr>
          <w:rFonts w:asciiTheme="majorHAnsi" w:hAnsiTheme="majorHAnsi" w:cstheme="majorHAnsi"/>
          <w:sz w:val="28"/>
          <w:szCs w:val="28"/>
          <w:lang w:val="vi-VN"/>
        </w:rPr>
        <w:t xml:space="preserve"> chưa phân phối </w:t>
      </w:r>
      <w:r w:rsidRPr="00BF3E8F">
        <w:rPr>
          <w:rFonts w:asciiTheme="majorHAnsi" w:hAnsiTheme="majorHAnsi" w:cstheme="majorHAnsi"/>
          <w:sz w:val="28"/>
          <w:szCs w:val="28"/>
          <w:lang w:val="nl-NL"/>
        </w:rPr>
        <w:t xml:space="preserve">(đến </w:t>
      </w:r>
      <w:r w:rsidR="006370BA" w:rsidRPr="00216CB6">
        <w:rPr>
          <w:rFonts w:asciiTheme="majorHAnsi" w:hAnsiTheme="majorHAnsi" w:cstheme="majorHAnsi"/>
          <w:sz w:val="28"/>
          <w:szCs w:val="28"/>
          <w:lang w:val="vi-VN"/>
        </w:rPr>
        <w:t xml:space="preserve">thời điểm 31/12/2020 là </w:t>
      </w:r>
      <w:r w:rsidRPr="00BF3E8F">
        <w:rPr>
          <w:rFonts w:asciiTheme="majorHAnsi" w:hAnsiTheme="majorHAnsi" w:cstheme="majorHAnsi"/>
          <w:sz w:val="28"/>
          <w:szCs w:val="28"/>
          <w:lang w:val="nl-NL"/>
        </w:rPr>
        <w:t>106.233.624</w:t>
      </w:r>
      <w:r w:rsidR="006370BA" w:rsidRPr="00216CB6">
        <w:rPr>
          <w:rFonts w:asciiTheme="majorHAnsi" w:hAnsiTheme="majorHAnsi" w:cstheme="majorHAnsi"/>
          <w:sz w:val="28"/>
          <w:szCs w:val="28"/>
          <w:lang w:val="vi-VN"/>
        </w:rPr>
        <w:t xml:space="preserve"> đồng</w:t>
      </w:r>
      <w:r w:rsidRPr="00BF3E8F">
        <w:rPr>
          <w:rFonts w:asciiTheme="majorHAnsi" w:hAnsiTheme="majorHAnsi" w:cstheme="majorHAnsi"/>
          <w:sz w:val="28"/>
          <w:szCs w:val="28"/>
          <w:lang w:val="nl-NL"/>
        </w:rPr>
        <w:t xml:space="preserve"> trên TK421).</w:t>
      </w:r>
    </w:p>
    <w:p w:rsidR="00E1718E" w:rsidRPr="00BF3E8F" w:rsidRDefault="004F372D" w:rsidP="002D6D87">
      <w:pPr>
        <w:spacing w:before="120" w:after="120"/>
        <w:ind w:firstLine="709"/>
        <w:jc w:val="both"/>
        <w:rPr>
          <w:rFonts w:asciiTheme="majorHAnsi" w:hAnsiTheme="majorHAnsi" w:cstheme="majorHAnsi"/>
          <w:sz w:val="28"/>
          <w:szCs w:val="28"/>
          <w:lang w:val="nl-NL"/>
        </w:rPr>
      </w:pPr>
      <w:r w:rsidRPr="00BF3E8F">
        <w:rPr>
          <w:rFonts w:asciiTheme="majorHAnsi" w:hAnsiTheme="majorHAnsi" w:cstheme="majorHAnsi"/>
          <w:sz w:val="28"/>
          <w:szCs w:val="28"/>
          <w:lang w:val="nl-NL"/>
        </w:rPr>
        <w:t xml:space="preserve">Xử lý việc hạch toán từ lợi nhuận chưa phân phối sang </w:t>
      </w:r>
      <w:r w:rsidR="006370BA" w:rsidRPr="00216CB6">
        <w:rPr>
          <w:rFonts w:asciiTheme="majorHAnsi" w:hAnsiTheme="majorHAnsi" w:cstheme="majorHAnsi"/>
          <w:sz w:val="28"/>
          <w:szCs w:val="28"/>
          <w:lang w:val="nl-NL"/>
        </w:rPr>
        <w:t>thặng dư cổ phần (TK4112 số tiền</w:t>
      </w:r>
      <w:r w:rsidR="00620088">
        <w:rPr>
          <w:rFonts w:asciiTheme="majorHAnsi" w:hAnsiTheme="majorHAnsi" w:cstheme="majorHAnsi"/>
          <w:sz w:val="28"/>
          <w:szCs w:val="28"/>
          <w:lang w:val="nl-NL"/>
        </w:rPr>
        <w:t xml:space="preserve"> </w:t>
      </w:r>
      <w:r w:rsidR="006370BA" w:rsidRPr="00216CB6">
        <w:rPr>
          <w:rFonts w:asciiTheme="majorHAnsi" w:hAnsiTheme="majorHAnsi" w:cstheme="majorHAnsi"/>
          <w:sz w:val="28"/>
          <w:szCs w:val="28"/>
          <w:lang w:val="nl-NL"/>
        </w:rPr>
        <w:t>345.023.216 đồng) không đúng chế độ kế toán từ những năm trước (</w:t>
      </w:r>
      <w:r w:rsidR="00720061">
        <w:rPr>
          <w:rFonts w:asciiTheme="majorHAnsi" w:hAnsiTheme="majorHAnsi" w:cstheme="majorHAnsi"/>
          <w:sz w:val="28"/>
          <w:szCs w:val="28"/>
          <w:lang w:val="nl-NL"/>
        </w:rPr>
        <w:t>H</w:t>
      </w:r>
      <w:r w:rsidR="00763A0F">
        <w:rPr>
          <w:rFonts w:asciiTheme="majorHAnsi" w:hAnsiTheme="majorHAnsi" w:cstheme="majorHAnsi"/>
          <w:sz w:val="28"/>
          <w:szCs w:val="28"/>
          <w:lang w:val="nl-NL"/>
        </w:rPr>
        <w:t xml:space="preserve">ạch toán </w:t>
      </w:r>
      <w:r w:rsidR="006370BA" w:rsidRPr="00216CB6">
        <w:rPr>
          <w:rFonts w:asciiTheme="majorHAnsi" w:hAnsiTheme="majorHAnsi" w:cstheme="majorHAnsi"/>
          <w:sz w:val="28"/>
          <w:szCs w:val="28"/>
          <w:lang w:val="nl-NL"/>
        </w:rPr>
        <w:t>tăng cổ phần hoặc</w:t>
      </w:r>
      <w:r w:rsidR="00C344F9">
        <w:rPr>
          <w:rFonts w:asciiTheme="majorHAnsi" w:hAnsiTheme="majorHAnsi" w:cstheme="majorHAnsi"/>
          <w:sz w:val="28"/>
          <w:szCs w:val="28"/>
          <w:lang w:val="nl-NL"/>
        </w:rPr>
        <w:t xml:space="preserve"> thực hiện</w:t>
      </w:r>
      <w:r w:rsidR="006370BA" w:rsidRPr="00216CB6">
        <w:rPr>
          <w:rFonts w:asciiTheme="majorHAnsi" w:hAnsiTheme="majorHAnsi" w:cstheme="majorHAnsi"/>
          <w:sz w:val="28"/>
          <w:szCs w:val="28"/>
          <w:lang w:val="nl-NL"/>
        </w:rPr>
        <w:t xml:space="preserve"> chi trả cổ tức cho các cổ đông).</w:t>
      </w:r>
    </w:p>
    <w:p w:rsidR="00D6314E" w:rsidRPr="00216CB6" w:rsidRDefault="00D6314E" w:rsidP="002D6D87">
      <w:pPr>
        <w:spacing w:before="120" w:after="120"/>
        <w:ind w:firstLine="709"/>
        <w:jc w:val="both"/>
        <w:rPr>
          <w:rFonts w:asciiTheme="majorHAnsi" w:hAnsiTheme="majorHAnsi" w:cstheme="majorHAnsi"/>
          <w:b/>
          <w:i/>
          <w:sz w:val="28"/>
          <w:szCs w:val="28"/>
          <w:lang w:val="nl-NL"/>
        </w:rPr>
      </w:pPr>
      <w:r w:rsidRPr="00216CB6">
        <w:rPr>
          <w:rFonts w:asciiTheme="majorHAnsi" w:hAnsiTheme="majorHAnsi" w:cstheme="majorHAnsi"/>
          <w:b/>
          <w:i/>
          <w:sz w:val="28"/>
          <w:szCs w:val="28"/>
          <w:lang w:val="nl-NL"/>
        </w:rPr>
        <w:t>2. Về thực hiện nghĩa vụ với ngân sách Nhà nước</w:t>
      </w:r>
    </w:p>
    <w:p w:rsidR="006370BA" w:rsidRPr="00216CB6" w:rsidRDefault="006370BA"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Kịp thời chấn chính, khắc phục các lỗi trong sử dụng hóa đơn, chuyển sang sử dụng hóa đơn điện tử trong thời gian tới (hạn cuối phải sử dụng ngày 01/7/2022)</w:t>
      </w:r>
      <w:r w:rsidR="004B4066">
        <w:rPr>
          <w:rFonts w:asciiTheme="majorHAnsi" w:hAnsiTheme="majorHAnsi" w:cstheme="majorHAnsi"/>
          <w:sz w:val="28"/>
          <w:szCs w:val="28"/>
          <w:lang w:val="nl-NL"/>
        </w:rPr>
        <w:t>.</w:t>
      </w:r>
    </w:p>
    <w:p w:rsidR="006370BA" w:rsidRPr="00216CB6" w:rsidRDefault="004F372D" w:rsidP="002D6D87">
      <w:pPr>
        <w:spacing w:before="120" w:after="120"/>
        <w:ind w:firstLine="709"/>
        <w:jc w:val="both"/>
        <w:rPr>
          <w:rFonts w:asciiTheme="majorHAnsi" w:hAnsiTheme="majorHAnsi" w:cstheme="majorHAnsi"/>
          <w:sz w:val="28"/>
          <w:szCs w:val="28"/>
          <w:lang w:val="nl-NL"/>
        </w:rPr>
      </w:pPr>
      <w:r w:rsidRPr="00BF3E8F">
        <w:rPr>
          <w:rFonts w:asciiTheme="majorHAnsi" w:hAnsiTheme="majorHAnsi" w:cstheme="majorHAnsi"/>
          <w:sz w:val="28"/>
          <w:szCs w:val="28"/>
          <w:lang w:val="nl-NL"/>
        </w:rPr>
        <w:t xml:space="preserve">Sử dụng mẫu phiếu thu, phiếu chi, sổ cái các tài khoản theo đúng quy định; Hạch toán </w:t>
      </w:r>
      <w:r w:rsidR="006370BA" w:rsidRPr="00216CB6">
        <w:rPr>
          <w:rFonts w:asciiTheme="majorHAnsi" w:hAnsiTheme="majorHAnsi" w:cstheme="majorHAnsi"/>
          <w:sz w:val="28"/>
          <w:szCs w:val="28"/>
          <w:lang w:val="nl-NL"/>
        </w:rPr>
        <w:t xml:space="preserve">việc nộp tiền ký quỹ đúng chuẩn mực và nguyên tắc kế toán theo quy  định tại Thông tư 133/2016/TT-BTC ngày 26/8/2016 </w:t>
      </w:r>
      <w:r w:rsidR="0030003D" w:rsidRPr="00216CB6">
        <w:rPr>
          <w:rFonts w:asciiTheme="majorHAnsi" w:hAnsiTheme="majorHAnsi" w:cstheme="majorHAnsi"/>
          <w:sz w:val="28"/>
          <w:szCs w:val="28"/>
          <w:lang w:val="nl-NL"/>
        </w:rPr>
        <w:t>của Bộ Tài chính</w:t>
      </w:r>
      <w:r w:rsidR="00620088">
        <w:rPr>
          <w:rFonts w:asciiTheme="majorHAnsi" w:hAnsiTheme="majorHAnsi" w:cstheme="majorHAnsi"/>
          <w:sz w:val="28"/>
          <w:szCs w:val="28"/>
          <w:lang w:val="nl-NL"/>
        </w:rPr>
        <w:t xml:space="preserve"> </w:t>
      </w:r>
      <w:r w:rsidR="0030003D">
        <w:rPr>
          <w:rFonts w:asciiTheme="majorHAnsi" w:hAnsiTheme="majorHAnsi" w:cstheme="majorHAnsi"/>
          <w:sz w:val="28"/>
          <w:szCs w:val="28"/>
          <w:lang w:val="nl-NL"/>
        </w:rPr>
        <w:t xml:space="preserve">về </w:t>
      </w:r>
      <w:r w:rsidR="00404839">
        <w:rPr>
          <w:rFonts w:asciiTheme="majorHAnsi" w:hAnsiTheme="majorHAnsi" w:cstheme="majorHAnsi"/>
          <w:sz w:val="28"/>
          <w:szCs w:val="28"/>
          <w:lang w:val="nl-NL"/>
        </w:rPr>
        <w:t xml:space="preserve">hướng dẫn </w:t>
      </w:r>
      <w:r w:rsidR="0030003D">
        <w:rPr>
          <w:rFonts w:asciiTheme="majorHAnsi" w:hAnsiTheme="majorHAnsi" w:cstheme="majorHAnsi"/>
          <w:sz w:val="28"/>
          <w:szCs w:val="28"/>
          <w:lang w:val="nl-NL"/>
        </w:rPr>
        <w:t>chế độ kế toán doanh nghiệp nhỏ và vừa</w:t>
      </w:r>
      <w:r w:rsidR="004B4066">
        <w:rPr>
          <w:rFonts w:asciiTheme="majorHAnsi" w:hAnsiTheme="majorHAnsi" w:cstheme="majorHAnsi"/>
          <w:sz w:val="28"/>
          <w:szCs w:val="28"/>
          <w:lang w:val="nl-NL"/>
        </w:rPr>
        <w:t>.</w:t>
      </w:r>
    </w:p>
    <w:p w:rsidR="006370BA" w:rsidRPr="00216CB6" w:rsidRDefault="006370BA"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 xml:space="preserve">Thực hiện nộp số thuế còn thiếu vào ngân sách, tránh tình trạng nợ đọng thuế kéo dài; hằng quý ước tính và </w:t>
      </w:r>
      <w:r w:rsidR="004B4066">
        <w:rPr>
          <w:rFonts w:asciiTheme="majorHAnsi" w:hAnsiTheme="majorHAnsi" w:cstheme="majorHAnsi"/>
          <w:sz w:val="28"/>
          <w:szCs w:val="28"/>
          <w:lang w:val="nl-NL"/>
        </w:rPr>
        <w:t>tạm nộp thuế TNDN theo quy định.</w:t>
      </w:r>
    </w:p>
    <w:p w:rsidR="00D6314E" w:rsidRPr="00216CB6" w:rsidRDefault="006370BA" w:rsidP="002D6D87">
      <w:pPr>
        <w:spacing w:before="120" w:after="120"/>
        <w:ind w:firstLine="709"/>
        <w:jc w:val="both"/>
        <w:rPr>
          <w:rFonts w:asciiTheme="majorHAnsi" w:hAnsiTheme="majorHAnsi" w:cstheme="majorHAnsi"/>
          <w:sz w:val="28"/>
          <w:szCs w:val="28"/>
          <w:lang w:val="nl-NL"/>
        </w:rPr>
      </w:pPr>
      <w:r w:rsidRPr="00216CB6">
        <w:rPr>
          <w:rFonts w:asciiTheme="majorHAnsi" w:hAnsiTheme="majorHAnsi" w:cstheme="majorHAnsi"/>
          <w:sz w:val="28"/>
          <w:szCs w:val="28"/>
          <w:lang w:val="nl-NL"/>
        </w:rPr>
        <w:t>Điều chỉnh báo cáo tài chính theo số liệu Đoàn thanh tra (giảm chi phí, tăng lợi nhuận và tăng số thuế phải nộp)</w:t>
      </w:r>
      <w:r w:rsidR="00D6314E" w:rsidRPr="00216CB6">
        <w:rPr>
          <w:rFonts w:asciiTheme="majorHAnsi" w:hAnsiTheme="majorHAnsi" w:cstheme="majorHAnsi"/>
          <w:sz w:val="28"/>
          <w:szCs w:val="28"/>
          <w:lang w:val="nl-NL"/>
        </w:rPr>
        <w:t xml:space="preserve">. </w:t>
      </w:r>
    </w:p>
    <w:p w:rsidR="00D6314E" w:rsidRPr="00216CB6" w:rsidRDefault="00D6314E" w:rsidP="002D6D87">
      <w:pPr>
        <w:spacing w:before="120" w:after="120"/>
        <w:ind w:firstLine="709"/>
        <w:jc w:val="both"/>
        <w:rPr>
          <w:rFonts w:asciiTheme="majorHAnsi" w:hAnsiTheme="majorHAnsi" w:cstheme="majorHAnsi"/>
          <w:b/>
          <w:i/>
          <w:sz w:val="28"/>
          <w:szCs w:val="28"/>
          <w:lang w:val="nl-NL"/>
        </w:rPr>
      </w:pPr>
      <w:r w:rsidRPr="00216CB6">
        <w:rPr>
          <w:rFonts w:asciiTheme="majorHAnsi" w:hAnsiTheme="majorHAnsi" w:cstheme="majorHAnsi"/>
          <w:b/>
          <w:i/>
          <w:sz w:val="28"/>
          <w:szCs w:val="28"/>
          <w:lang w:val="nl-NL"/>
        </w:rPr>
        <w:t>3. Thực hiện nghĩa vụ đối với người lao động</w:t>
      </w:r>
    </w:p>
    <w:p w:rsidR="006370BA" w:rsidRPr="00BF3E8F" w:rsidRDefault="004F372D" w:rsidP="002D6D87">
      <w:pPr>
        <w:spacing w:before="120" w:after="120"/>
        <w:ind w:firstLine="709"/>
        <w:jc w:val="both"/>
        <w:rPr>
          <w:rFonts w:asciiTheme="majorHAnsi" w:hAnsiTheme="majorHAnsi" w:cstheme="majorHAnsi"/>
          <w:bCs/>
          <w:sz w:val="28"/>
          <w:szCs w:val="28"/>
          <w:lang w:val="nl-NL"/>
        </w:rPr>
      </w:pPr>
      <w:r w:rsidRPr="00BF3E8F">
        <w:rPr>
          <w:rFonts w:asciiTheme="majorHAnsi" w:hAnsiTheme="majorHAnsi" w:cstheme="majorHAnsi"/>
          <w:sz w:val="28"/>
          <w:szCs w:val="28"/>
          <w:lang w:val="nl-NL"/>
        </w:rPr>
        <w:t xml:space="preserve">Định kỳ 6 tháng, năm Công ty </w:t>
      </w:r>
      <w:r w:rsidR="006370BA" w:rsidRPr="00216CB6">
        <w:rPr>
          <w:rFonts w:asciiTheme="majorHAnsi" w:hAnsiTheme="majorHAnsi" w:cstheme="majorHAnsi"/>
          <w:sz w:val="28"/>
          <w:szCs w:val="28"/>
          <w:lang w:val="vi-VN"/>
        </w:rPr>
        <w:t xml:space="preserve">báo cáo tình hình sử dụng lao động gửi Phòng </w:t>
      </w:r>
      <w:r w:rsidRPr="00BF3E8F">
        <w:rPr>
          <w:rFonts w:asciiTheme="majorHAnsi" w:hAnsiTheme="majorHAnsi" w:cstheme="majorHAnsi"/>
          <w:sz w:val="28"/>
          <w:szCs w:val="28"/>
          <w:lang w:val="nl-NL"/>
        </w:rPr>
        <w:t>LĐ-TB&amp;XH</w:t>
      </w:r>
      <w:r w:rsidR="005E38AA">
        <w:rPr>
          <w:rFonts w:asciiTheme="majorHAnsi" w:hAnsiTheme="majorHAnsi" w:cstheme="majorHAnsi"/>
          <w:sz w:val="28"/>
          <w:szCs w:val="28"/>
          <w:lang w:val="nl-NL"/>
        </w:rPr>
        <w:t xml:space="preserve"> </w:t>
      </w:r>
      <w:r w:rsidRPr="00BF3E8F">
        <w:rPr>
          <w:rFonts w:asciiTheme="majorHAnsi" w:hAnsiTheme="majorHAnsi" w:cstheme="majorHAnsi"/>
          <w:sz w:val="28"/>
          <w:szCs w:val="28"/>
          <w:lang w:val="nl-NL"/>
        </w:rPr>
        <w:t xml:space="preserve">huyện Can Lộc; </w:t>
      </w:r>
      <w:r w:rsidR="006370BA" w:rsidRPr="00216CB6">
        <w:rPr>
          <w:rFonts w:asciiTheme="majorHAnsi" w:hAnsiTheme="majorHAnsi" w:cstheme="majorHAnsi"/>
          <w:bCs/>
          <w:sz w:val="28"/>
          <w:szCs w:val="28"/>
          <w:lang w:val="vi-VN"/>
        </w:rPr>
        <w:t>lập, quản lý và sử dụng sổ quản lý lao động</w:t>
      </w:r>
      <w:r w:rsidRPr="00BF3E8F">
        <w:rPr>
          <w:rFonts w:asciiTheme="majorHAnsi" w:hAnsiTheme="majorHAnsi" w:cstheme="majorHAnsi"/>
          <w:bCs/>
          <w:sz w:val="28"/>
          <w:szCs w:val="28"/>
          <w:lang w:val="nl-NL"/>
        </w:rPr>
        <w:t>;</w:t>
      </w:r>
      <w:r w:rsidR="005E38AA">
        <w:rPr>
          <w:rFonts w:asciiTheme="majorHAnsi" w:hAnsiTheme="majorHAnsi" w:cstheme="majorHAnsi"/>
          <w:bCs/>
          <w:sz w:val="28"/>
          <w:szCs w:val="28"/>
          <w:lang w:val="nl-NL"/>
        </w:rPr>
        <w:t xml:space="preserve"> </w:t>
      </w:r>
      <w:r w:rsidR="006370BA" w:rsidRPr="00216CB6">
        <w:rPr>
          <w:rFonts w:asciiTheme="majorHAnsi" w:hAnsiTheme="majorHAnsi" w:cstheme="majorHAnsi"/>
          <w:sz w:val="28"/>
          <w:szCs w:val="28"/>
          <w:lang w:val="vi-VN"/>
        </w:rPr>
        <w:t>thực hiện việc th</w:t>
      </w:r>
      <w:r w:rsidRPr="00BF3E8F">
        <w:rPr>
          <w:rFonts w:asciiTheme="majorHAnsi" w:hAnsiTheme="majorHAnsi" w:cstheme="majorHAnsi"/>
          <w:sz w:val="28"/>
          <w:szCs w:val="28"/>
          <w:lang w:val="nl-NL"/>
        </w:rPr>
        <w:t>ỏ</w:t>
      </w:r>
      <w:r w:rsidR="006370BA" w:rsidRPr="00216CB6">
        <w:rPr>
          <w:rFonts w:asciiTheme="majorHAnsi" w:hAnsiTheme="majorHAnsi" w:cstheme="majorHAnsi"/>
          <w:sz w:val="28"/>
          <w:szCs w:val="28"/>
          <w:lang w:val="vi-VN"/>
        </w:rPr>
        <w:t>a ước lao động tập thể, tổ chức hội nghị người lao động</w:t>
      </w:r>
      <w:r w:rsidRPr="00BF3E8F">
        <w:rPr>
          <w:rFonts w:asciiTheme="majorHAnsi" w:hAnsiTheme="majorHAnsi" w:cstheme="majorHAnsi"/>
          <w:sz w:val="28"/>
          <w:szCs w:val="28"/>
          <w:lang w:val="nl-NL"/>
        </w:rPr>
        <w:t>;</w:t>
      </w:r>
      <w:r w:rsidR="005E38AA">
        <w:rPr>
          <w:rFonts w:asciiTheme="majorHAnsi" w:hAnsiTheme="majorHAnsi" w:cstheme="majorHAnsi"/>
          <w:sz w:val="28"/>
          <w:szCs w:val="28"/>
          <w:lang w:val="nl-NL"/>
        </w:rPr>
        <w:t xml:space="preserve"> </w:t>
      </w:r>
      <w:r w:rsidRPr="00BF3E8F">
        <w:rPr>
          <w:rFonts w:asciiTheme="majorHAnsi" w:hAnsiTheme="majorHAnsi" w:cstheme="majorHAnsi"/>
          <w:sz w:val="28"/>
          <w:szCs w:val="28"/>
          <w:lang w:val="nl-NL"/>
        </w:rPr>
        <w:t xml:space="preserve">xây dựng nội quy lao động; định kỳ hằng năm </w:t>
      </w:r>
      <w:r w:rsidR="006370BA" w:rsidRPr="00216CB6">
        <w:rPr>
          <w:rFonts w:asciiTheme="majorHAnsi" w:hAnsiTheme="majorHAnsi" w:cstheme="majorHAnsi"/>
          <w:bCs/>
          <w:sz w:val="28"/>
          <w:szCs w:val="28"/>
          <w:lang w:val="vi-VN"/>
        </w:rPr>
        <w:t>tổ chức khám sức khỏe định kỳ cho người lao động</w:t>
      </w:r>
      <w:r w:rsidRPr="00BF3E8F">
        <w:rPr>
          <w:rFonts w:asciiTheme="majorHAnsi" w:hAnsiTheme="majorHAnsi" w:cstheme="majorHAnsi"/>
          <w:bCs/>
          <w:sz w:val="28"/>
          <w:szCs w:val="28"/>
          <w:lang w:val="nl-NL"/>
        </w:rPr>
        <w:t>;</w:t>
      </w:r>
      <w:r w:rsidR="006370BA" w:rsidRPr="00216CB6">
        <w:rPr>
          <w:rFonts w:asciiTheme="majorHAnsi" w:hAnsiTheme="majorHAnsi" w:cstheme="majorHAnsi"/>
          <w:sz w:val="28"/>
          <w:szCs w:val="28"/>
          <w:lang w:val="vi-VN"/>
        </w:rPr>
        <w:t xml:space="preserve">thực hiện việc thỏa ước lao động tập thể, tổ chức hội nghị người lao động theo quy định tại Khoản 2, điều 14, Nghị định số 60/2013/NĐ-CP ngày 19/6/2013 về quy định chi tiết khoản 3, Điều 63, Bộ luật Lao động năm 2012 về thực hiện quy chế dân chủ ở cơ sở tại nơi làm việc; </w:t>
      </w:r>
    </w:p>
    <w:p w:rsidR="00745390" w:rsidRDefault="00B24D2F" w:rsidP="002D6D87">
      <w:pPr>
        <w:spacing w:before="120" w:after="120"/>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Làm việc với cơ quan BHXH để đăng ký, nộp bảo hiểm xã hội cho </w:t>
      </w:r>
      <w:r w:rsidR="004F372D" w:rsidRPr="00BF3E8F">
        <w:rPr>
          <w:rFonts w:asciiTheme="majorHAnsi" w:hAnsiTheme="majorHAnsi" w:cstheme="majorHAnsi"/>
          <w:sz w:val="28"/>
          <w:szCs w:val="28"/>
          <w:lang w:val="nl-NL"/>
        </w:rPr>
        <w:t>4</w:t>
      </w:r>
      <w:r>
        <w:rPr>
          <w:rFonts w:asciiTheme="majorHAnsi" w:hAnsiTheme="majorHAnsi" w:cstheme="majorHAnsi"/>
          <w:sz w:val="28"/>
          <w:szCs w:val="28"/>
          <w:lang w:val="nl-NL"/>
        </w:rPr>
        <w:t xml:space="preserve"> lao động</w:t>
      </w:r>
      <w:r w:rsidR="00620088">
        <w:rPr>
          <w:rFonts w:asciiTheme="majorHAnsi" w:hAnsiTheme="majorHAnsi" w:cstheme="majorHAnsi"/>
          <w:sz w:val="28"/>
          <w:szCs w:val="28"/>
          <w:lang w:val="nl-NL"/>
        </w:rPr>
        <w:t xml:space="preserve"> </w:t>
      </w:r>
      <w:r>
        <w:rPr>
          <w:rFonts w:asciiTheme="majorHAnsi" w:hAnsiTheme="majorHAnsi" w:cstheme="majorHAnsi"/>
          <w:sz w:val="28"/>
          <w:szCs w:val="28"/>
          <w:lang w:val="nl-NL"/>
        </w:rPr>
        <w:t>chưa tham gia BHXH là đối tượng bắt buộc.</w:t>
      </w:r>
    </w:p>
    <w:p w:rsidR="005E38AA" w:rsidRDefault="00B33EA9" w:rsidP="002D6D87">
      <w:pPr>
        <w:spacing w:before="120" w:after="120"/>
        <w:ind w:firstLine="709"/>
        <w:jc w:val="both"/>
        <w:rPr>
          <w:rFonts w:asciiTheme="majorHAnsi" w:hAnsiTheme="majorHAnsi" w:cstheme="majorHAnsi"/>
          <w:sz w:val="28"/>
          <w:szCs w:val="28"/>
          <w:lang w:val="nl-NL"/>
        </w:rPr>
      </w:pPr>
      <w:r w:rsidRPr="005713A7">
        <w:rPr>
          <w:rFonts w:asciiTheme="majorHAnsi" w:hAnsiTheme="majorHAnsi" w:cstheme="majorHAnsi"/>
          <w:b/>
          <w:i/>
          <w:sz w:val="28"/>
          <w:szCs w:val="28"/>
          <w:lang w:val="nl-NL"/>
        </w:rPr>
        <w:t xml:space="preserve">4. Thực hiện pháp luật về đất đai: </w:t>
      </w:r>
      <w:r w:rsidR="00E654A1">
        <w:rPr>
          <w:rFonts w:asciiTheme="majorHAnsi" w:hAnsiTheme="majorHAnsi" w:cstheme="majorHAnsi"/>
          <w:sz w:val="28"/>
          <w:szCs w:val="28"/>
          <w:lang w:val="nl-NL"/>
        </w:rPr>
        <w:t>Lậ</w:t>
      </w:r>
      <w:r w:rsidR="004F372D" w:rsidRPr="00BF3E8F">
        <w:rPr>
          <w:rFonts w:asciiTheme="majorHAnsi" w:hAnsiTheme="majorHAnsi" w:cstheme="majorHAnsi"/>
          <w:sz w:val="28"/>
          <w:szCs w:val="28"/>
          <w:lang w:val="nl-NL"/>
        </w:rPr>
        <w:t xml:space="preserve">p hồ sơ gửi các cơ quan có thẩm quyền </w:t>
      </w:r>
      <w:r w:rsidR="00D9250A">
        <w:rPr>
          <w:rFonts w:asciiTheme="majorHAnsi" w:hAnsiTheme="majorHAnsi" w:cstheme="majorHAnsi"/>
          <w:sz w:val="28"/>
          <w:szCs w:val="28"/>
          <w:lang w:val="nl-NL"/>
        </w:rPr>
        <w:t xml:space="preserve">để được </w:t>
      </w:r>
      <w:r w:rsidR="004F372D" w:rsidRPr="00BF3E8F">
        <w:rPr>
          <w:rFonts w:asciiTheme="majorHAnsi" w:hAnsiTheme="majorHAnsi" w:cstheme="majorHAnsi"/>
          <w:sz w:val="28"/>
          <w:szCs w:val="28"/>
          <w:lang w:val="nl-NL"/>
        </w:rPr>
        <w:t>cấp</w:t>
      </w:r>
      <w:r w:rsidRPr="005713A7">
        <w:rPr>
          <w:rFonts w:asciiTheme="majorHAnsi" w:hAnsiTheme="majorHAnsi" w:cstheme="majorHAnsi"/>
          <w:sz w:val="28"/>
          <w:szCs w:val="28"/>
          <w:lang w:val="nl-NL"/>
        </w:rPr>
        <w:t xml:space="preserve"> giấy chứng nhận quyền sử dụng đất của 02 thửa đất</w:t>
      </w:r>
      <w:r w:rsidR="00620088">
        <w:rPr>
          <w:rFonts w:asciiTheme="majorHAnsi" w:hAnsiTheme="majorHAnsi" w:cstheme="majorHAnsi"/>
          <w:sz w:val="28"/>
          <w:szCs w:val="28"/>
          <w:lang w:val="nl-NL"/>
        </w:rPr>
        <w:t xml:space="preserve"> </w:t>
      </w:r>
      <w:r w:rsidR="004F372D" w:rsidRPr="00BF3E8F">
        <w:rPr>
          <w:rFonts w:asciiTheme="majorHAnsi" w:hAnsiTheme="majorHAnsi" w:cstheme="majorHAnsi"/>
          <w:sz w:val="28"/>
          <w:szCs w:val="28"/>
          <w:lang w:val="nl-NL"/>
        </w:rPr>
        <w:t xml:space="preserve">đang </w:t>
      </w:r>
      <w:r w:rsidR="00B24D2F">
        <w:rPr>
          <w:rFonts w:asciiTheme="majorHAnsi" w:hAnsiTheme="majorHAnsi" w:cstheme="majorHAnsi"/>
          <w:sz w:val="28"/>
          <w:szCs w:val="28"/>
          <w:lang w:val="nl-NL"/>
        </w:rPr>
        <w:t>sử dụng</w:t>
      </w:r>
      <w:r w:rsidR="004B6653">
        <w:rPr>
          <w:rFonts w:asciiTheme="majorHAnsi" w:hAnsiTheme="majorHAnsi" w:cstheme="majorHAnsi"/>
          <w:sz w:val="28"/>
          <w:szCs w:val="28"/>
          <w:lang w:val="nl-NL"/>
        </w:rPr>
        <w:t>.</w:t>
      </w:r>
    </w:p>
    <w:p w:rsidR="00FD4CEC" w:rsidRPr="00216CB6" w:rsidRDefault="00701B94" w:rsidP="002D6D87">
      <w:pPr>
        <w:spacing w:before="120" w:after="120"/>
        <w:ind w:firstLine="709"/>
        <w:jc w:val="both"/>
        <w:rPr>
          <w:rFonts w:asciiTheme="majorHAnsi" w:hAnsiTheme="majorHAnsi" w:cstheme="majorHAnsi"/>
          <w:b/>
          <w:bCs/>
          <w:i/>
          <w:sz w:val="28"/>
          <w:szCs w:val="28"/>
          <w:lang w:val="nl-NL" w:eastAsia="vi-VN"/>
        </w:rPr>
      </w:pPr>
      <w:r>
        <w:rPr>
          <w:rFonts w:asciiTheme="majorHAnsi" w:hAnsiTheme="majorHAnsi" w:cstheme="majorHAnsi"/>
          <w:b/>
          <w:bCs/>
          <w:i/>
          <w:sz w:val="28"/>
          <w:szCs w:val="28"/>
          <w:lang w:val="nl-NL" w:eastAsia="vi-VN"/>
        </w:rPr>
        <w:lastRenderedPageBreak/>
        <w:t>5</w:t>
      </w:r>
      <w:r w:rsidR="00D6314E" w:rsidRPr="00216CB6">
        <w:rPr>
          <w:rFonts w:asciiTheme="majorHAnsi" w:hAnsiTheme="majorHAnsi" w:cstheme="majorHAnsi"/>
          <w:b/>
          <w:bCs/>
          <w:i/>
          <w:sz w:val="28"/>
          <w:szCs w:val="28"/>
          <w:lang w:val="nl-NL" w:eastAsia="vi-VN"/>
        </w:rPr>
        <w:t>.</w:t>
      </w:r>
      <w:r w:rsidR="00D6314E" w:rsidRPr="00216CB6">
        <w:rPr>
          <w:rFonts w:asciiTheme="majorHAnsi" w:hAnsiTheme="majorHAnsi" w:cstheme="majorHAnsi"/>
          <w:b/>
          <w:bCs/>
          <w:i/>
          <w:sz w:val="28"/>
          <w:szCs w:val="28"/>
          <w:lang w:val="vi-VN" w:eastAsia="vi-VN"/>
        </w:rPr>
        <w:t xml:space="preserve"> Xử lý </w:t>
      </w:r>
      <w:r w:rsidR="00D6314E" w:rsidRPr="00216CB6">
        <w:rPr>
          <w:rFonts w:asciiTheme="majorHAnsi" w:hAnsiTheme="majorHAnsi" w:cstheme="majorHAnsi"/>
          <w:b/>
          <w:bCs/>
          <w:i/>
          <w:sz w:val="28"/>
          <w:szCs w:val="28"/>
          <w:lang w:val="nl-NL" w:eastAsia="vi-VN"/>
        </w:rPr>
        <w:t xml:space="preserve">thu hồi </w:t>
      </w:r>
      <w:r w:rsidR="00D6314E" w:rsidRPr="00216CB6">
        <w:rPr>
          <w:rFonts w:asciiTheme="majorHAnsi" w:hAnsiTheme="majorHAnsi" w:cstheme="majorHAnsi"/>
          <w:b/>
          <w:bCs/>
          <w:i/>
          <w:sz w:val="28"/>
          <w:szCs w:val="28"/>
          <w:lang w:val="vi-VN" w:eastAsia="vi-VN"/>
        </w:rPr>
        <w:t>về kinh tế</w:t>
      </w:r>
      <w:r w:rsidR="00D6314E" w:rsidRPr="00216CB6">
        <w:rPr>
          <w:rFonts w:asciiTheme="majorHAnsi" w:hAnsiTheme="majorHAnsi" w:cstheme="majorHAnsi"/>
          <w:b/>
          <w:bCs/>
          <w:i/>
          <w:sz w:val="28"/>
          <w:szCs w:val="28"/>
          <w:lang w:val="nl-NL" w:eastAsia="vi-VN"/>
        </w:rPr>
        <w:t>, yêu cầu Công ty</w:t>
      </w:r>
    </w:p>
    <w:p w:rsidR="008F3DCB" w:rsidRPr="005E38AA" w:rsidRDefault="004C6A38" w:rsidP="002D6D87">
      <w:pPr>
        <w:ind w:firstLine="709"/>
        <w:jc w:val="both"/>
        <w:rPr>
          <w:rFonts w:asciiTheme="majorHAnsi" w:hAnsiTheme="majorHAnsi" w:cstheme="majorHAnsi"/>
          <w:sz w:val="28"/>
          <w:szCs w:val="28"/>
          <w:lang w:val="nl-NL"/>
        </w:rPr>
      </w:pPr>
      <w:r w:rsidRPr="005E38AA">
        <w:rPr>
          <w:rFonts w:asciiTheme="majorHAnsi" w:hAnsiTheme="majorHAnsi" w:cstheme="majorHAnsi"/>
          <w:sz w:val="28"/>
          <w:szCs w:val="28"/>
          <w:lang w:val="nl-NL"/>
        </w:rPr>
        <w:t>Thực hiện n</w:t>
      </w:r>
      <w:r w:rsidR="00EA0685" w:rsidRPr="005E38AA">
        <w:rPr>
          <w:rFonts w:asciiTheme="majorHAnsi" w:hAnsiTheme="majorHAnsi" w:cstheme="majorHAnsi"/>
          <w:sz w:val="28"/>
          <w:szCs w:val="28"/>
          <w:lang w:val="nl-NL"/>
        </w:rPr>
        <w:t xml:space="preserve">ộp Ngân sách Nhà nước số tiền </w:t>
      </w:r>
      <w:r w:rsidR="004F372D" w:rsidRPr="005E38AA">
        <w:rPr>
          <w:rFonts w:asciiTheme="majorHAnsi" w:hAnsiTheme="majorHAnsi" w:cstheme="majorHAnsi"/>
          <w:b/>
          <w:sz w:val="28"/>
          <w:szCs w:val="28"/>
          <w:lang w:val="nl-NL"/>
        </w:rPr>
        <w:t>152.693.305</w:t>
      </w:r>
      <w:r w:rsidR="004F372D" w:rsidRPr="005E38AA">
        <w:rPr>
          <w:rFonts w:asciiTheme="majorHAnsi" w:hAnsiTheme="majorHAnsi" w:cstheme="majorHAnsi"/>
          <w:sz w:val="28"/>
          <w:szCs w:val="28"/>
          <w:lang w:val="nl-NL"/>
        </w:rPr>
        <w:t xml:space="preserve"> đồng</w:t>
      </w:r>
      <w:r w:rsidR="006370BA" w:rsidRPr="005E38AA">
        <w:rPr>
          <w:rFonts w:asciiTheme="majorHAnsi" w:hAnsiTheme="majorHAnsi" w:cstheme="majorHAnsi"/>
          <w:sz w:val="28"/>
          <w:szCs w:val="28"/>
          <w:vertAlign w:val="superscript"/>
        </w:rPr>
        <w:footnoteReference w:id="6"/>
      </w:r>
      <w:r w:rsidR="00EA0685" w:rsidRPr="005E38AA">
        <w:rPr>
          <w:rFonts w:asciiTheme="majorHAnsi" w:hAnsiTheme="majorHAnsi" w:cstheme="majorHAnsi"/>
          <w:sz w:val="28"/>
          <w:szCs w:val="28"/>
          <w:lang w:val="nl-NL"/>
        </w:rPr>
        <w:t xml:space="preserve"> thuế TNDN</w:t>
      </w:r>
      <w:r w:rsidR="00620088" w:rsidRPr="005E38AA">
        <w:rPr>
          <w:rFonts w:asciiTheme="majorHAnsi" w:hAnsiTheme="majorHAnsi" w:cstheme="majorHAnsi"/>
          <w:sz w:val="28"/>
          <w:szCs w:val="28"/>
          <w:lang w:val="nl-NL"/>
        </w:rPr>
        <w:t xml:space="preserve"> </w:t>
      </w:r>
      <w:r w:rsidR="00741618" w:rsidRPr="00E10DE8">
        <w:rPr>
          <w:rFonts w:asciiTheme="majorHAnsi" w:hAnsiTheme="majorHAnsi" w:cstheme="majorHAnsi"/>
          <w:sz w:val="28"/>
          <w:szCs w:val="28"/>
          <w:lang w:val="nl-NL"/>
        </w:rPr>
        <w:t xml:space="preserve">năm 2020 </w:t>
      </w:r>
      <w:r w:rsidR="00521C57" w:rsidRPr="00E10DE8">
        <w:rPr>
          <w:rFonts w:asciiTheme="majorHAnsi" w:hAnsiTheme="majorHAnsi" w:cstheme="majorHAnsi"/>
          <w:sz w:val="28"/>
          <w:szCs w:val="28"/>
          <w:lang w:val="nl-NL"/>
        </w:rPr>
        <w:t>và tiền chậm nộp</w:t>
      </w:r>
      <w:r w:rsidR="00620088" w:rsidRPr="00E10DE8">
        <w:rPr>
          <w:rFonts w:asciiTheme="majorHAnsi" w:hAnsiTheme="majorHAnsi" w:cstheme="majorHAnsi"/>
          <w:sz w:val="28"/>
          <w:szCs w:val="28"/>
          <w:lang w:val="nl-NL"/>
        </w:rPr>
        <w:t xml:space="preserve"> </w:t>
      </w:r>
      <w:r w:rsidR="003478C3" w:rsidRPr="00E10DE8">
        <w:rPr>
          <w:rFonts w:asciiTheme="majorHAnsi" w:hAnsiTheme="majorHAnsi" w:cstheme="majorHAnsi"/>
          <w:sz w:val="28"/>
          <w:szCs w:val="28"/>
          <w:lang w:val="nl-NL"/>
        </w:rPr>
        <w:t xml:space="preserve">qua </w:t>
      </w:r>
      <w:r w:rsidR="00EA0685" w:rsidRPr="00E10DE8">
        <w:rPr>
          <w:rFonts w:asciiTheme="majorHAnsi" w:hAnsiTheme="majorHAnsi" w:cstheme="majorHAnsi"/>
          <w:sz w:val="28"/>
          <w:szCs w:val="28"/>
          <w:lang w:val="nl-NL"/>
        </w:rPr>
        <w:t xml:space="preserve">Tài khoản tạm giữ của Thanh tra tỉnh tại Kho bạc Nhà nước tỉnh Hà Tĩnh, số tài khoản 3949.0.1049434. Thời gian thực hiện </w:t>
      </w:r>
      <w:r w:rsidR="000C4FB7" w:rsidRPr="00E10DE8">
        <w:rPr>
          <w:rFonts w:asciiTheme="majorHAnsi" w:hAnsiTheme="majorHAnsi" w:cstheme="majorHAnsi"/>
          <w:sz w:val="28"/>
          <w:szCs w:val="28"/>
          <w:lang w:val="nl-NL"/>
        </w:rPr>
        <w:t xml:space="preserve">trước ngày </w:t>
      </w:r>
      <w:r w:rsidR="00065814" w:rsidRPr="00E10DE8">
        <w:rPr>
          <w:rFonts w:asciiTheme="majorHAnsi" w:hAnsiTheme="majorHAnsi" w:cstheme="majorHAnsi"/>
          <w:sz w:val="28"/>
          <w:szCs w:val="28"/>
          <w:lang w:val="nl-NL"/>
        </w:rPr>
        <w:t>05/11</w:t>
      </w:r>
      <w:r w:rsidR="000C4FB7" w:rsidRPr="00E10DE8">
        <w:rPr>
          <w:rFonts w:asciiTheme="majorHAnsi" w:hAnsiTheme="majorHAnsi" w:cstheme="majorHAnsi"/>
          <w:sz w:val="28"/>
          <w:szCs w:val="28"/>
          <w:lang w:val="nl-NL"/>
        </w:rPr>
        <w:t>/2021.</w:t>
      </w:r>
    </w:p>
    <w:p w:rsidR="00FE5DDF" w:rsidRPr="00216CB6" w:rsidRDefault="00FE5DDF" w:rsidP="002D6D87">
      <w:pPr>
        <w:spacing w:before="120" w:after="120"/>
        <w:ind w:firstLine="709"/>
        <w:jc w:val="both"/>
        <w:rPr>
          <w:rFonts w:asciiTheme="majorHAnsi" w:hAnsiTheme="majorHAnsi" w:cstheme="majorHAnsi"/>
          <w:sz w:val="28"/>
          <w:szCs w:val="28"/>
          <w:lang w:val="nl-NL"/>
        </w:rPr>
      </w:pPr>
      <w:r w:rsidRPr="00E10DE8">
        <w:rPr>
          <w:rFonts w:asciiTheme="majorHAnsi" w:hAnsiTheme="majorHAnsi" w:cstheme="majorHAnsi"/>
          <w:sz w:val="28"/>
          <w:szCs w:val="28"/>
          <w:lang w:val="nl-NL"/>
        </w:rPr>
        <w:t xml:space="preserve">Trên đây là kết luận thanh tra </w:t>
      </w:r>
      <w:r w:rsidRPr="00E10DE8">
        <w:rPr>
          <w:rFonts w:asciiTheme="majorHAnsi" w:hAnsiTheme="majorHAnsi" w:cstheme="majorHAnsi"/>
          <w:iCs/>
          <w:sz w:val="28"/>
          <w:szCs w:val="28"/>
          <w:lang w:val="nl-NL"/>
        </w:rPr>
        <w:t>v</w:t>
      </w:r>
      <w:r w:rsidRPr="00E10DE8">
        <w:rPr>
          <w:rFonts w:asciiTheme="majorHAnsi" w:hAnsiTheme="majorHAnsi" w:cstheme="majorHAnsi"/>
          <w:sz w:val="28"/>
          <w:szCs w:val="28"/>
          <w:lang w:val="nl-NL"/>
        </w:rPr>
        <w:t>iệc chấp hành các quy định của pháp luật về: Doanh nghiệp, đất đai</w:t>
      </w:r>
      <w:r w:rsidRPr="00E10DE8">
        <w:rPr>
          <w:rFonts w:asciiTheme="majorHAnsi" w:hAnsiTheme="majorHAnsi" w:cstheme="majorHAnsi"/>
          <w:sz w:val="28"/>
          <w:szCs w:val="28"/>
          <w:lang w:val="vi-VN"/>
        </w:rPr>
        <w:t>, đầu tư xây dựng</w:t>
      </w:r>
      <w:r w:rsidRPr="00E10DE8">
        <w:rPr>
          <w:rFonts w:asciiTheme="majorHAnsi" w:hAnsiTheme="majorHAnsi" w:cstheme="majorHAnsi"/>
          <w:sz w:val="28"/>
          <w:szCs w:val="28"/>
          <w:lang w:val="nl-NL"/>
        </w:rPr>
        <w:t>,</w:t>
      </w:r>
      <w:r w:rsidRPr="00E10DE8">
        <w:rPr>
          <w:rFonts w:asciiTheme="majorHAnsi" w:hAnsiTheme="majorHAnsi" w:cstheme="majorHAnsi"/>
          <w:sz w:val="28"/>
          <w:szCs w:val="28"/>
          <w:lang w:val="vi-VN"/>
        </w:rPr>
        <w:t xml:space="preserve">thực hiện nghĩa vụ đối với </w:t>
      </w:r>
      <w:r w:rsidRPr="00E10DE8">
        <w:rPr>
          <w:rFonts w:asciiTheme="majorHAnsi" w:hAnsiTheme="majorHAnsi" w:cstheme="majorHAnsi"/>
          <w:sz w:val="28"/>
          <w:szCs w:val="28"/>
          <w:lang w:val="nl-NL"/>
        </w:rPr>
        <w:t>N</w:t>
      </w:r>
      <w:r w:rsidRPr="00E10DE8">
        <w:rPr>
          <w:rFonts w:asciiTheme="majorHAnsi" w:hAnsiTheme="majorHAnsi" w:cstheme="majorHAnsi"/>
          <w:sz w:val="28"/>
          <w:szCs w:val="28"/>
          <w:lang w:val="vi-VN"/>
        </w:rPr>
        <w:t>hà nước</w:t>
      </w:r>
      <w:r w:rsidR="00620088" w:rsidRPr="00E10DE8">
        <w:rPr>
          <w:rFonts w:asciiTheme="majorHAnsi" w:hAnsiTheme="majorHAnsi" w:cstheme="majorHAnsi"/>
          <w:sz w:val="28"/>
          <w:szCs w:val="28"/>
        </w:rPr>
        <w:t xml:space="preserve"> </w:t>
      </w:r>
      <w:r w:rsidRPr="00E10DE8">
        <w:rPr>
          <w:rFonts w:asciiTheme="majorHAnsi" w:hAnsiTheme="majorHAnsi" w:cstheme="majorHAnsi"/>
          <w:sz w:val="28"/>
          <w:szCs w:val="28"/>
          <w:lang w:val="vi-VN"/>
        </w:rPr>
        <w:t>và người lao động tại</w:t>
      </w:r>
      <w:r w:rsidRPr="00E10DE8">
        <w:rPr>
          <w:rFonts w:asciiTheme="majorHAnsi" w:hAnsiTheme="majorHAnsi" w:cstheme="majorHAnsi"/>
          <w:sz w:val="28"/>
          <w:szCs w:val="28"/>
          <w:lang w:val="nl-NL"/>
        </w:rPr>
        <w:t xml:space="preserve"> Công ty </w:t>
      </w:r>
      <w:r w:rsidR="000C3F22" w:rsidRPr="00E10DE8">
        <w:rPr>
          <w:rFonts w:asciiTheme="majorHAnsi" w:hAnsiTheme="majorHAnsi" w:cstheme="majorHAnsi"/>
          <w:sz w:val="28"/>
          <w:szCs w:val="28"/>
          <w:lang w:val="nl-NL"/>
        </w:rPr>
        <w:t xml:space="preserve">Cổ phần </w:t>
      </w:r>
      <w:r w:rsidR="006370BA" w:rsidRPr="00E10DE8">
        <w:rPr>
          <w:rFonts w:asciiTheme="majorHAnsi" w:hAnsiTheme="majorHAnsi" w:cstheme="majorHAnsi"/>
          <w:sz w:val="28"/>
          <w:szCs w:val="28"/>
          <w:lang w:val="nl-NL"/>
        </w:rPr>
        <w:t>Hồng Vượng</w:t>
      </w:r>
      <w:r w:rsidRPr="00E10DE8">
        <w:rPr>
          <w:rFonts w:asciiTheme="majorHAnsi" w:hAnsiTheme="majorHAnsi" w:cstheme="majorHAnsi"/>
          <w:sz w:val="28"/>
          <w:szCs w:val="28"/>
          <w:lang w:val="nl-NL"/>
        </w:rPr>
        <w:t xml:space="preserve">. </w:t>
      </w:r>
      <w:r w:rsidRPr="00E10DE8">
        <w:rPr>
          <w:rFonts w:asciiTheme="majorHAnsi" w:hAnsiTheme="majorHAnsi" w:cstheme="majorHAnsi"/>
          <w:iCs/>
          <w:sz w:val="28"/>
          <w:szCs w:val="28"/>
          <w:lang w:val="nl-NL"/>
        </w:rPr>
        <w:t xml:space="preserve">Yêu cầu </w:t>
      </w:r>
      <w:r w:rsidRPr="00E10DE8">
        <w:rPr>
          <w:rFonts w:asciiTheme="majorHAnsi" w:hAnsiTheme="majorHAnsi" w:cstheme="majorHAnsi"/>
          <w:sz w:val="28"/>
          <w:szCs w:val="28"/>
          <w:lang w:val="nl-NL"/>
        </w:rPr>
        <w:t xml:space="preserve">Giám đốc Công ty và các tổ chức, cá nhân liên quan nghiêm túc thực hiện và báo cáo kết quả về Thanh tra tỉnh trước ngày </w:t>
      </w:r>
      <w:r w:rsidR="00330ACB" w:rsidRPr="00E10DE8">
        <w:rPr>
          <w:rFonts w:asciiTheme="majorHAnsi" w:hAnsiTheme="majorHAnsi" w:cstheme="majorHAnsi"/>
          <w:sz w:val="28"/>
          <w:szCs w:val="28"/>
          <w:lang w:val="nl-NL"/>
        </w:rPr>
        <w:t>10</w:t>
      </w:r>
      <w:r w:rsidR="00D63F7C" w:rsidRPr="00E10DE8">
        <w:rPr>
          <w:rFonts w:asciiTheme="majorHAnsi" w:hAnsiTheme="majorHAnsi" w:cstheme="majorHAnsi"/>
          <w:sz w:val="28"/>
          <w:szCs w:val="28"/>
          <w:lang w:val="nl-NL"/>
        </w:rPr>
        <w:t>/11</w:t>
      </w:r>
      <w:r w:rsidRPr="00E10DE8">
        <w:rPr>
          <w:rFonts w:asciiTheme="majorHAnsi" w:hAnsiTheme="majorHAnsi" w:cstheme="majorHAnsi"/>
          <w:sz w:val="28"/>
          <w:szCs w:val="28"/>
          <w:lang w:val="nl-NL"/>
        </w:rPr>
        <w:t>/202</w:t>
      </w:r>
      <w:r w:rsidR="005B5212" w:rsidRPr="00E10DE8">
        <w:rPr>
          <w:rFonts w:asciiTheme="majorHAnsi" w:hAnsiTheme="majorHAnsi" w:cstheme="majorHAnsi"/>
          <w:sz w:val="28"/>
          <w:szCs w:val="28"/>
          <w:lang w:val="nl-NL"/>
        </w:rPr>
        <w:t>1</w:t>
      </w:r>
      <w:r w:rsidRPr="005E38AA">
        <w:rPr>
          <w:rFonts w:asciiTheme="majorHAnsi" w:hAnsiTheme="majorHAnsi" w:cstheme="majorHAnsi"/>
          <w:sz w:val="28"/>
          <w:szCs w:val="28"/>
          <w:lang w:val="nl-NL"/>
        </w:rPr>
        <w:t xml:space="preserve">. Giao Trưởng Đoàn thanh tra theo </w:t>
      </w:r>
      <w:r w:rsidR="006370BA" w:rsidRPr="005E38AA">
        <w:rPr>
          <w:rFonts w:asciiTheme="majorHAnsi" w:hAnsiTheme="majorHAnsi" w:cstheme="majorHAnsi"/>
          <w:sz w:val="28"/>
          <w:szCs w:val="28"/>
          <w:lang w:val="nl-NL"/>
        </w:rPr>
        <w:t>Quyết định số 91</w:t>
      </w:r>
      <w:r w:rsidR="000C3F22" w:rsidRPr="005E38AA">
        <w:rPr>
          <w:rFonts w:asciiTheme="majorHAnsi" w:hAnsiTheme="majorHAnsi" w:cstheme="majorHAnsi"/>
          <w:sz w:val="28"/>
          <w:szCs w:val="28"/>
          <w:lang w:val="nl-NL"/>
        </w:rPr>
        <w:t xml:space="preserve">/QĐ-TT ngày </w:t>
      </w:r>
      <w:r w:rsidR="006370BA" w:rsidRPr="00E10DE8">
        <w:rPr>
          <w:rFonts w:asciiTheme="majorHAnsi" w:hAnsiTheme="majorHAnsi" w:cstheme="majorHAnsi"/>
          <w:sz w:val="28"/>
          <w:szCs w:val="28"/>
          <w:lang w:val="nl-NL"/>
        </w:rPr>
        <w:t>29/7</w:t>
      </w:r>
      <w:r w:rsidR="000C3F22" w:rsidRPr="00E10DE8">
        <w:rPr>
          <w:rFonts w:asciiTheme="majorHAnsi" w:hAnsiTheme="majorHAnsi" w:cstheme="majorHAnsi"/>
          <w:sz w:val="28"/>
          <w:szCs w:val="28"/>
          <w:lang w:val="nl-NL"/>
        </w:rPr>
        <w:t>/2021</w:t>
      </w:r>
      <w:r w:rsidRPr="00E10DE8">
        <w:rPr>
          <w:rFonts w:asciiTheme="majorHAnsi" w:hAnsiTheme="majorHAnsi" w:cstheme="majorHAnsi"/>
          <w:sz w:val="28"/>
          <w:szCs w:val="28"/>
          <w:lang w:val="nl-NL"/>
        </w:rPr>
        <w:t>, Trưởng Phòng Nghiệp vụ 4 - Thanh tra tỉnh theo dõi, đôn đốc việc thực hiện</w:t>
      </w:r>
      <w:r w:rsidRPr="00E10DE8">
        <w:rPr>
          <w:rFonts w:asciiTheme="majorHAnsi" w:hAnsiTheme="majorHAnsi" w:cstheme="majorHAnsi"/>
          <w:sz w:val="28"/>
          <w:szCs w:val="28"/>
          <w:lang w:val="vi-VN"/>
        </w:rPr>
        <w:t>./.</w:t>
      </w:r>
    </w:p>
    <w:p w:rsidR="00FE5DDF" w:rsidRPr="00F27D78" w:rsidRDefault="00FE5DDF" w:rsidP="002D6D87">
      <w:pPr>
        <w:spacing w:before="60" w:after="60"/>
        <w:ind w:firstLine="709"/>
        <w:jc w:val="both"/>
        <w:rPr>
          <w:rFonts w:asciiTheme="majorHAnsi" w:hAnsiTheme="majorHAnsi" w:cstheme="majorHAnsi"/>
          <w:sz w:val="28"/>
          <w:szCs w:val="28"/>
          <w:lang w:val="nl-NL"/>
        </w:rPr>
      </w:pPr>
    </w:p>
    <w:tbl>
      <w:tblPr>
        <w:tblW w:w="0" w:type="auto"/>
        <w:tblInd w:w="108" w:type="dxa"/>
        <w:tblLook w:val="0000" w:firstRow="0" w:lastRow="0" w:firstColumn="0" w:lastColumn="0" w:noHBand="0" w:noVBand="0"/>
      </w:tblPr>
      <w:tblGrid>
        <w:gridCol w:w="4519"/>
        <w:gridCol w:w="4412"/>
      </w:tblGrid>
      <w:tr w:rsidR="00FE5DDF" w:rsidRPr="00F27D78" w:rsidTr="00B847D0">
        <w:trPr>
          <w:trHeight w:val="1689"/>
        </w:trPr>
        <w:tc>
          <w:tcPr>
            <w:tcW w:w="4519" w:type="dxa"/>
            <w:shd w:val="clear" w:color="auto" w:fill="auto"/>
          </w:tcPr>
          <w:p w:rsidR="00FE5DDF" w:rsidRPr="00F27D78" w:rsidRDefault="00FE5DDF" w:rsidP="00B847D0">
            <w:pPr>
              <w:spacing w:after="40"/>
              <w:jc w:val="both"/>
              <w:rPr>
                <w:b/>
                <w:i/>
                <w:iCs/>
                <w:lang w:val="nl-NL"/>
              </w:rPr>
            </w:pPr>
            <w:r w:rsidRPr="00F27D78">
              <w:rPr>
                <w:b/>
                <w:i/>
                <w:iCs/>
                <w:lang w:val="nl-NL"/>
              </w:rPr>
              <w:t xml:space="preserve">Nơi nhận: </w:t>
            </w:r>
          </w:p>
          <w:p w:rsidR="00FE5DDF" w:rsidRDefault="00FE5DDF" w:rsidP="00B847D0">
            <w:pPr>
              <w:jc w:val="both"/>
              <w:rPr>
                <w:lang w:val="nl-NL"/>
              </w:rPr>
            </w:pPr>
            <w:r w:rsidRPr="00F27D78">
              <w:rPr>
                <w:sz w:val="22"/>
                <w:szCs w:val="22"/>
                <w:lang w:val="nl-NL"/>
              </w:rPr>
              <w:t>- UBND tỉnh (B/c);</w:t>
            </w:r>
          </w:p>
          <w:p w:rsidR="00FE5DDF" w:rsidRPr="00F27D78" w:rsidRDefault="00FE5DDF" w:rsidP="00B847D0">
            <w:pPr>
              <w:jc w:val="both"/>
              <w:rPr>
                <w:lang w:val="nl-NL"/>
              </w:rPr>
            </w:pPr>
            <w:r w:rsidRPr="00F27D78">
              <w:rPr>
                <w:sz w:val="22"/>
                <w:szCs w:val="22"/>
                <w:lang w:val="nl-NL"/>
              </w:rPr>
              <w:t xml:space="preserve">- Công ty </w:t>
            </w:r>
            <w:r w:rsidR="00A15C6D">
              <w:rPr>
                <w:sz w:val="22"/>
                <w:szCs w:val="22"/>
                <w:lang w:val="nl-NL"/>
              </w:rPr>
              <w:t>CP Hồng Vượng</w:t>
            </w:r>
            <w:r w:rsidRPr="00F27D78">
              <w:rPr>
                <w:sz w:val="22"/>
                <w:szCs w:val="22"/>
                <w:lang w:val="nl-NL"/>
              </w:rPr>
              <w:t>;</w:t>
            </w:r>
          </w:p>
          <w:p w:rsidR="00FE5DDF" w:rsidRPr="00F27D78" w:rsidRDefault="00FE5DDF" w:rsidP="00B847D0">
            <w:pPr>
              <w:jc w:val="both"/>
              <w:rPr>
                <w:b/>
                <w:i/>
                <w:iCs/>
                <w:lang w:val="nl-NL"/>
              </w:rPr>
            </w:pPr>
            <w:r w:rsidRPr="00F27D78">
              <w:rPr>
                <w:sz w:val="22"/>
                <w:szCs w:val="22"/>
                <w:lang w:val="vi-VN"/>
              </w:rPr>
              <w:t>- Lưu</w:t>
            </w:r>
            <w:r w:rsidRPr="00F27D78">
              <w:rPr>
                <w:sz w:val="22"/>
                <w:szCs w:val="22"/>
                <w:lang w:val="nl-NL"/>
              </w:rPr>
              <w:t>:</w:t>
            </w:r>
            <w:r w:rsidR="00E654A1">
              <w:rPr>
                <w:sz w:val="22"/>
                <w:szCs w:val="22"/>
                <w:lang w:val="nl-NL"/>
              </w:rPr>
              <w:t xml:space="preserve"> </w:t>
            </w:r>
            <w:bookmarkStart w:id="0" w:name="_GoBack"/>
            <w:bookmarkEnd w:id="0"/>
            <w:r w:rsidRPr="00F27D78">
              <w:rPr>
                <w:sz w:val="22"/>
                <w:szCs w:val="22"/>
                <w:lang w:val="vi-VN"/>
              </w:rPr>
              <w:t>VT, ĐTT</w:t>
            </w:r>
            <w:r w:rsidRPr="00F27D78">
              <w:rPr>
                <w:sz w:val="22"/>
                <w:szCs w:val="22"/>
                <w:lang w:val="nl-NL"/>
              </w:rPr>
              <w:t>, NV4</w:t>
            </w:r>
            <w:r w:rsidRPr="00F27D78">
              <w:rPr>
                <w:sz w:val="22"/>
                <w:szCs w:val="22"/>
                <w:lang w:val="vi-VN"/>
              </w:rPr>
              <w:t>.</w:t>
            </w:r>
            <w:r w:rsidRPr="00F27D78">
              <w:rPr>
                <w:sz w:val="22"/>
                <w:szCs w:val="22"/>
                <w:lang w:val="nl-NL"/>
              </w:rPr>
              <w:tab/>
            </w:r>
          </w:p>
        </w:tc>
        <w:tc>
          <w:tcPr>
            <w:tcW w:w="4412" w:type="dxa"/>
          </w:tcPr>
          <w:p w:rsidR="00FE5DDF" w:rsidRPr="00F27D78" w:rsidRDefault="00FE5DDF" w:rsidP="00B847D0">
            <w:pPr>
              <w:pStyle w:val="Heading9"/>
              <w:spacing w:before="0"/>
              <w:rPr>
                <w:bCs/>
                <w:sz w:val="26"/>
                <w:szCs w:val="26"/>
              </w:rPr>
            </w:pPr>
            <w:r w:rsidRPr="00F27D78">
              <w:rPr>
                <w:bCs/>
                <w:sz w:val="26"/>
                <w:szCs w:val="26"/>
              </w:rPr>
              <w:t>KT.CHÁNH THANH TRA</w:t>
            </w:r>
          </w:p>
          <w:p w:rsidR="00FE5DDF" w:rsidRPr="00F27D78" w:rsidRDefault="00FE5DDF" w:rsidP="00B847D0">
            <w:pPr>
              <w:jc w:val="center"/>
              <w:rPr>
                <w:b/>
                <w:sz w:val="26"/>
                <w:szCs w:val="26"/>
              </w:rPr>
            </w:pPr>
            <w:r w:rsidRPr="00F27D78">
              <w:rPr>
                <w:b/>
                <w:sz w:val="26"/>
                <w:szCs w:val="26"/>
              </w:rPr>
              <w:t>PHÓ CHÁNH THANH TRA</w:t>
            </w:r>
          </w:p>
          <w:p w:rsidR="00FE5DDF" w:rsidRPr="00F27D78" w:rsidRDefault="00FE5DDF" w:rsidP="00B847D0">
            <w:pPr>
              <w:jc w:val="center"/>
              <w:rPr>
                <w:b/>
                <w:sz w:val="26"/>
                <w:szCs w:val="26"/>
              </w:rPr>
            </w:pPr>
          </w:p>
          <w:p w:rsidR="00FE5DDF" w:rsidRDefault="00FE5DDF" w:rsidP="00B847D0">
            <w:pPr>
              <w:jc w:val="center"/>
              <w:rPr>
                <w:b/>
                <w:sz w:val="26"/>
                <w:szCs w:val="26"/>
              </w:rPr>
            </w:pPr>
          </w:p>
          <w:p w:rsidR="005A7A1F" w:rsidRDefault="005A7A1F" w:rsidP="00B847D0">
            <w:pPr>
              <w:jc w:val="center"/>
              <w:rPr>
                <w:b/>
                <w:sz w:val="26"/>
                <w:szCs w:val="26"/>
              </w:rPr>
            </w:pPr>
          </w:p>
          <w:p w:rsidR="00BA3D9F" w:rsidRPr="00F27D78" w:rsidRDefault="00BA3D9F" w:rsidP="00B847D0">
            <w:pPr>
              <w:jc w:val="center"/>
              <w:rPr>
                <w:b/>
                <w:sz w:val="26"/>
                <w:szCs w:val="26"/>
              </w:rPr>
            </w:pPr>
          </w:p>
          <w:p w:rsidR="00FE5DDF" w:rsidRPr="00F27D78" w:rsidRDefault="00FE5DDF" w:rsidP="00B847D0">
            <w:pPr>
              <w:rPr>
                <w:b/>
                <w:bCs/>
                <w:sz w:val="26"/>
                <w:szCs w:val="26"/>
              </w:rPr>
            </w:pPr>
          </w:p>
          <w:p w:rsidR="00FE5DDF" w:rsidRPr="00F27D78" w:rsidRDefault="00FE5DDF" w:rsidP="00B847D0">
            <w:pPr>
              <w:jc w:val="center"/>
              <w:rPr>
                <w:b/>
                <w:bCs/>
                <w:sz w:val="28"/>
                <w:szCs w:val="28"/>
              </w:rPr>
            </w:pPr>
            <w:r w:rsidRPr="00F27D78">
              <w:rPr>
                <w:b/>
                <w:sz w:val="28"/>
                <w:szCs w:val="28"/>
              </w:rPr>
              <w:t>Phan Tiến Phú</w:t>
            </w:r>
          </w:p>
        </w:tc>
      </w:tr>
    </w:tbl>
    <w:p w:rsidR="00136E6C" w:rsidRPr="00675356" w:rsidRDefault="00136E6C" w:rsidP="00675356">
      <w:pPr>
        <w:tabs>
          <w:tab w:val="left" w:pos="5836"/>
        </w:tabs>
      </w:pPr>
    </w:p>
    <w:sectPr w:rsidR="00136E6C" w:rsidRPr="00675356" w:rsidSect="00743F48">
      <w:headerReference w:type="default" r:id="rId8"/>
      <w:footerReference w:type="default" r:id="rId9"/>
      <w:pgSz w:w="11907" w:h="16840" w:code="9"/>
      <w:pgMar w:top="1134" w:right="851" w:bottom="1134" w:left="1701" w:header="567" w:footer="567"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F4" w:rsidRDefault="004A47F4" w:rsidP="00FE5DDF">
      <w:r>
        <w:separator/>
      </w:r>
    </w:p>
  </w:endnote>
  <w:endnote w:type="continuationSeparator" w:id="0">
    <w:p w:rsidR="004A47F4" w:rsidRDefault="004A47F4" w:rsidP="00F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04" w:rsidRPr="00BC1DD9" w:rsidRDefault="00C45C04">
    <w:pPr>
      <w:pStyle w:val="Footer"/>
      <w:jc w:val="center"/>
      <w:rPr>
        <w:rFonts w:asciiTheme="majorHAnsi" w:hAnsiTheme="majorHAnsi" w:cstheme="majorHAnsi"/>
      </w:rPr>
    </w:pPr>
  </w:p>
  <w:p w:rsidR="00C45C04" w:rsidRDefault="00C4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F4" w:rsidRDefault="004A47F4" w:rsidP="00FE5DDF">
      <w:r>
        <w:separator/>
      </w:r>
    </w:p>
  </w:footnote>
  <w:footnote w:type="continuationSeparator" w:id="0">
    <w:p w:rsidR="004A47F4" w:rsidRDefault="004A47F4" w:rsidP="00FE5DDF">
      <w:r>
        <w:continuationSeparator/>
      </w:r>
    </w:p>
  </w:footnote>
  <w:footnote w:id="1">
    <w:p w:rsidR="00C45C04" w:rsidRDefault="00C45C04" w:rsidP="004B463B">
      <w:pPr>
        <w:widowControl w:val="0"/>
        <w:spacing w:before="60" w:after="60"/>
        <w:ind w:firstLine="709"/>
        <w:jc w:val="both"/>
      </w:pPr>
      <w:r w:rsidRPr="00FF06E6">
        <w:rPr>
          <w:rStyle w:val="FootnoteReference"/>
          <w:sz w:val="20"/>
          <w:szCs w:val="20"/>
        </w:rPr>
        <w:footnoteRef/>
      </w:r>
      <w:r w:rsidRPr="00D67785">
        <w:rPr>
          <w:lang w:val="nl-NL"/>
        </w:rPr>
        <w:t>(</w:t>
      </w:r>
      <w:r w:rsidRPr="00895CC6">
        <w:rPr>
          <w:sz w:val="20"/>
          <w:szCs w:val="20"/>
          <w:lang w:val="nl-NL"/>
        </w:rPr>
        <w:t>1) Ngân hàng TMCP Ngoại Thương Hà Tĩnh, Số TK: 0201000578627; (2) Ngân hàng Agribank, CN Hà Tĩnh II, Số TK: 3701201004411; (3) Ngân hàng BIDV - CN Hà Tĩnh, Số TK: 52110000064340</w:t>
      </w:r>
      <w:r w:rsidRPr="00EC73DF">
        <w:rPr>
          <w:sz w:val="20"/>
          <w:szCs w:val="20"/>
          <w:lang w:val="nl-NL"/>
        </w:rPr>
        <w:t>.</w:t>
      </w:r>
    </w:p>
  </w:footnote>
  <w:footnote w:id="2">
    <w:p w:rsidR="00C45C04" w:rsidRDefault="00C45C04" w:rsidP="00895CC6">
      <w:pPr>
        <w:pStyle w:val="FootnoteText"/>
        <w:ind w:firstLine="709"/>
        <w:jc w:val="both"/>
      </w:pPr>
      <w:r>
        <w:rPr>
          <w:vertAlign w:val="superscript"/>
          <w:lang w:val="nl-NL"/>
        </w:rPr>
        <w:t>(</w:t>
      </w:r>
      <w:r>
        <w:rPr>
          <w:rStyle w:val="FootnoteReference"/>
        </w:rPr>
        <w:footnoteRef/>
      </w:r>
      <w:r>
        <w:rPr>
          <w:vertAlign w:val="superscript"/>
          <w:lang w:val="nl-NL"/>
        </w:rPr>
        <w:t>)</w:t>
      </w:r>
      <w:r>
        <w:rPr>
          <w:lang w:val="nl-NL"/>
        </w:rPr>
        <w:t xml:space="preserve"> Về việc chấn chỉnh hoạt động thanh tra, kiểm tra đối với doanh nghiệp.</w:t>
      </w:r>
    </w:p>
  </w:footnote>
  <w:footnote w:id="3">
    <w:p w:rsidR="00C45C04" w:rsidRPr="00BF3E8F" w:rsidRDefault="00C45C04" w:rsidP="00895CC6">
      <w:pPr>
        <w:ind w:firstLine="709"/>
        <w:jc w:val="both"/>
        <w:rPr>
          <w:lang w:val="vi-VN"/>
        </w:rPr>
      </w:pPr>
      <w:r>
        <w:rPr>
          <w:sz w:val="20"/>
          <w:szCs w:val="20"/>
          <w:vertAlign w:val="superscript"/>
          <w:lang w:val="nl-NL"/>
        </w:rPr>
        <w:t>(1)</w:t>
      </w:r>
      <w:r>
        <w:rPr>
          <w:sz w:val="20"/>
          <w:szCs w:val="20"/>
          <w:lang w:val="nl-NL"/>
        </w:rPr>
        <w:t> Là tài khoản phản ánh phần chênh lệch giữa giá phát hành và mệnh giá cổ phiếu</w:t>
      </w:r>
    </w:p>
  </w:footnote>
  <w:footnote w:id="4">
    <w:p w:rsidR="00C45C04" w:rsidRPr="005159B7" w:rsidRDefault="00C45C04" w:rsidP="007B368D">
      <w:pPr>
        <w:pStyle w:val="FootnoteText"/>
        <w:ind w:firstLine="709"/>
        <w:jc w:val="both"/>
      </w:pPr>
      <w:r>
        <w:rPr>
          <w:rStyle w:val="FootnoteReference"/>
        </w:rPr>
        <w:footnoteRef/>
      </w:r>
      <w:r>
        <w:t>V</w:t>
      </w:r>
      <w:r w:rsidRPr="00694D4E">
        <w:rPr>
          <w:bCs/>
        </w:rPr>
        <w:t>ề việc hướng dẫn một số điều tại Nghị định số 03/2014/NĐ-CP ngày 16/1/2014 của Chính phủ quy định chi tiết một số điều của Bộ Luật lao động về việc làm</w:t>
      </w:r>
      <w:r>
        <w:rPr>
          <w:bCs/>
        </w:rPr>
        <w:t>;</w:t>
      </w:r>
    </w:p>
  </w:footnote>
  <w:footnote w:id="5">
    <w:p w:rsidR="00C45C04" w:rsidRDefault="00C45C04" w:rsidP="007B368D">
      <w:pPr>
        <w:pStyle w:val="FootnoteText"/>
        <w:ind w:firstLine="709"/>
      </w:pPr>
      <w:r>
        <w:rPr>
          <w:rStyle w:val="FootnoteReference"/>
        </w:rPr>
        <w:footnoteRef/>
      </w:r>
      <w:r w:rsidRPr="005159B7">
        <w:t>0</w:t>
      </w:r>
      <w:r>
        <w:t>6</w:t>
      </w:r>
      <w:r w:rsidRPr="005159B7">
        <w:t xml:space="preserve"> trường hợp này: Ông Nguyễn Đức </w:t>
      </w:r>
      <w:r>
        <w:t>X</w:t>
      </w:r>
      <w:r w:rsidRPr="005159B7">
        <w:t xml:space="preserve">oài </w:t>
      </w:r>
      <w:r>
        <w:t>và Ông Trần Viết Hạnh là đối tượng hưu trí;</w:t>
      </w:r>
      <w:r w:rsidRPr="005159B7">
        <w:t xml:space="preserve"> Ông Nguyễn Văn Bảy nhiều tuổi nên có đơn xin không tham gia, Ông Dương Văn Thắng có đơn xin không đóng vì không xác định làm lâu dài, Ông Trần Văn Chân nhiều tuổi</w:t>
      </w:r>
      <w:r>
        <w:t>, xác định làm thời gian ngắn</w:t>
      </w:r>
      <w:r w:rsidRPr="005159B7">
        <w:t xml:space="preserve"> nên có đơn xin không đóng bảo hiểm</w:t>
      </w:r>
      <w:r>
        <w:t>; Ông Hà Văn Quảng có đơn xin không tham gia</w:t>
      </w:r>
    </w:p>
  </w:footnote>
  <w:footnote w:id="6">
    <w:p w:rsidR="00C45C04" w:rsidRPr="00BF3E8F" w:rsidRDefault="00C45C04" w:rsidP="006370BA">
      <w:pPr>
        <w:ind w:firstLine="567"/>
        <w:jc w:val="both"/>
        <w:rPr>
          <w:color w:val="000000"/>
          <w:sz w:val="20"/>
          <w:szCs w:val="20"/>
          <w:lang w:val="vi-VN"/>
        </w:rPr>
      </w:pPr>
      <w:r w:rsidRPr="00634630">
        <w:rPr>
          <w:rStyle w:val="FootnoteReference"/>
          <w:sz w:val="20"/>
          <w:szCs w:val="20"/>
        </w:rPr>
        <w:footnoteRef/>
      </w:r>
      <w:r w:rsidR="004F372D" w:rsidRPr="00BF3E8F">
        <w:rPr>
          <w:sz w:val="20"/>
          <w:szCs w:val="20"/>
          <w:lang w:val="vi-VN"/>
        </w:rPr>
        <w:t>Gồm: Thuế TNDN: N</w:t>
      </w:r>
      <w:r w:rsidR="004F372D" w:rsidRPr="00BF3E8F">
        <w:rPr>
          <w:bCs/>
          <w:color w:val="000000"/>
          <w:sz w:val="20"/>
          <w:szCs w:val="20"/>
          <w:lang w:val="vi-VN"/>
        </w:rPr>
        <w:t>ăm 2020 số tiền:</w:t>
      </w:r>
      <w:r w:rsidR="00BF3E8F">
        <w:rPr>
          <w:bCs/>
          <w:color w:val="000000"/>
          <w:sz w:val="20"/>
          <w:szCs w:val="20"/>
        </w:rPr>
        <w:t xml:space="preserve"> </w:t>
      </w:r>
      <w:r w:rsidR="004F372D" w:rsidRPr="00BF3E8F">
        <w:rPr>
          <w:color w:val="000000"/>
          <w:sz w:val="20"/>
          <w:szCs w:val="20"/>
          <w:lang w:val="vi-VN"/>
        </w:rPr>
        <w:t xml:space="preserve">207.429.909*70% = 145.200.937 đồng (được giảm 30% số thuế phải nộp </w:t>
      </w:r>
      <w:r w:rsidR="004F372D" w:rsidRPr="00BF3E8F">
        <w:rPr>
          <w:rFonts w:asciiTheme="majorHAnsi" w:hAnsiTheme="majorHAnsi" w:cstheme="majorHAnsi"/>
          <w:color w:val="000000"/>
          <w:sz w:val="20"/>
          <w:szCs w:val="20"/>
          <w:lang w:val="vi-VN"/>
        </w:rPr>
        <w:t>theo Điều 2, Nghị định số 114/2020/NĐ-CP ngày 25/9/2020 của Chinh phủ)</w:t>
      </w:r>
      <w:r w:rsidR="004F372D" w:rsidRPr="00BF3E8F">
        <w:rPr>
          <w:color w:val="000000"/>
          <w:sz w:val="20"/>
          <w:szCs w:val="20"/>
          <w:lang w:val="vi-VN"/>
        </w:rPr>
        <w:t xml:space="preserve"> và t</w:t>
      </w:r>
      <w:r w:rsidRPr="00CC011E">
        <w:rPr>
          <w:sz w:val="20"/>
          <w:szCs w:val="20"/>
          <w:lang w:val="nl-NL"/>
        </w:rPr>
        <w:t>iền chậm nộp tính đến thời điểm lập biên bản thanh tra ngày 20/</w:t>
      </w:r>
      <w:r>
        <w:rPr>
          <w:sz w:val="20"/>
          <w:szCs w:val="20"/>
          <w:lang w:val="nl-NL"/>
        </w:rPr>
        <w:t>9</w:t>
      </w:r>
      <w:r w:rsidRPr="00CC011E">
        <w:rPr>
          <w:sz w:val="20"/>
          <w:szCs w:val="20"/>
          <w:lang w:val="nl-NL"/>
        </w:rPr>
        <w:t>/2021:</w:t>
      </w:r>
      <w:r w:rsidR="003F3EFD">
        <w:rPr>
          <w:sz w:val="20"/>
          <w:szCs w:val="20"/>
          <w:lang w:val="nl-NL"/>
        </w:rPr>
        <w:t xml:space="preserve"> </w:t>
      </w:r>
      <w:r w:rsidR="004F372D" w:rsidRPr="00BF3E8F">
        <w:rPr>
          <w:color w:val="000000"/>
          <w:sz w:val="20"/>
          <w:szCs w:val="20"/>
          <w:lang w:val="vi-VN"/>
        </w:rPr>
        <w:t>7.492.368</w:t>
      </w:r>
      <w:r w:rsidR="005F0CE4">
        <w:rPr>
          <w:color w:val="000000"/>
          <w:sz w:val="20"/>
          <w:szCs w:val="20"/>
        </w:rPr>
        <w:t xml:space="preserve"> </w:t>
      </w:r>
      <w:r w:rsidRPr="00CC011E">
        <w:rPr>
          <w:sz w:val="20"/>
          <w:szCs w:val="20"/>
          <w:lang w:val="nl-NL"/>
        </w:rPr>
        <w:t>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98259"/>
      <w:docPartObj>
        <w:docPartGallery w:val="Page Numbers (Top of Page)"/>
        <w:docPartUnique/>
      </w:docPartObj>
    </w:sdtPr>
    <w:sdtEndPr>
      <w:rPr>
        <w:noProof/>
        <w:sz w:val="26"/>
        <w:szCs w:val="26"/>
      </w:rPr>
    </w:sdtEndPr>
    <w:sdtContent>
      <w:p w:rsidR="00C45C04" w:rsidRPr="00BC1DD9" w:rsidRDefault="004F372D">
        <w:pPr>
          <w:pStyle w:val="Header"/>
          <w:jc w:val="center"/>
          <w:rPr>
            <w:sz w:val="26"/>
            <w:szCs w:val="26"/>
          </w:rPr>
        </w:pPr>
        <w:r w:rsidRPr="00BC1DD9">
          <w:rPr>
            <w:sz w:val="26"/>
            <w:szCs w:val="26"/>
          </w:rPr>
          <w:fldChar w:fldCharType="begin"/>
        </w:r>
        <w:r w:rsidR="00C45C04" w:rsidRPr="00BC1DD9">
          <w:rPr>
            <w:sz w:val="26"/>
            <w:szCs w:val="26"/>
          </w:rPr>
          <w:instrText xml:space="preserve"> PAGE   \* MERGEFORMAT </w:instrText>
        </w:r>
        <w:r w:rsidRPr="00BC1DD9">
          <w:rPr>
            <w:sz w:val="26"/>
            <w:szCs w:val="26"/>
          </w:rPr>
          <w:fldChar w:fldCharType="separate"/>
        </w:r>
        <w:r w:rsidR="00E654A1">
          <w:rPr>
            <w:noProof/>
            <w:sz w:val="26"/>
            <w:szCs w:val="26"/>
          </w:rPr>
          <w:t>8</w:t>
        </w:r>
        <w:r w:rsidRPr="00BC1DD9">
          <w:rPr>
            <w:noProof/>
            <w:sz w:val="26"/>
            <w:szCs w:val="26"/>
          </w:rPr>
          <w:fldChar w:fldCharType="end"/>
        </w:r>
      </w:p>
    </w:sdtContent>
  </w:sdt>
  <w:p w:rsidR="00C45C04" w:rsidRDefault="00C45C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5DDF"/>
    <w:rsid w:val="00005C02"/>
    <w:rsid w:val="00014407"/>
    <w:rsid w:val="00017A45"/>
    <w:rsid w:val="0003298A"/>
    <w:rsid w:val="000427ED"/>
    <w:rsid w:val="000435CA"/>
    <w:rsid w:val="00044D8D"/>
    <w:rsid w:val="00051C87"/>
    <w:rsid w:val="00052431"/>
    <w:rsid w:val="000554EB"/>
    <w:rsid w:val="00057DB7"/>
    <w:rsid w:val="00062AC7"/>
    <w:rsid w:val="00064B16"/>
    <w:rsid w:val="00065814"/>
    <w:rsid w:val="00067619"/>
    <w:rsid w:val="00073930"/>
    <w:rsid w:val="00093227"/>
    <w:rsid w:val="00097ACA"/>
    <w:rsid w:val="00097EF5"/>
    <w:rsid w:val="000A60D6"/>
    <w:rsid w:val="000B308A"/>
    <w:rsid w:val="000B40FF"/>
    <w:rsid w:val="000C1BB1"/>
    <w:rsid w:val="000C3F22"/>
    <w:rsid w:val="000C4FB7"/>
    <w:rsid w:val="000E1914"/>
    <w:rsid w:val="000F2C19"/>
    <w:rsid w:val="00103F3A"/>
    <w:rsid w:val="00104FD7"/>
    <w:rsid w:val="0010552E"/>
    <w:rsid w:val="001057D9"/>
    <w:rsid w:val="00106431"/>
    <w:rsid w:val="00116807"/>
    <w:rsid w:val="001175BF"/>
    <w:rsid w:val="0011780A"/>
    <w:rsid w:val="0011780C"/>
    <w:rsid w:val="001250AB"/>
    <w:rsid w:val="00126EF8"/>
    <w:rsid w:val="0013151C"/>
    <w:rsid w:val="00136E6C"/>
    <w:rsid w:val="00137317"/>
    <w:rsid w:val="00144C41"/>
    <w:rsid w:val="00146FC1"/>
    <w:rsid w:val="00152646"/>
    <w:rsid w:val="00162F11"/>
    <w:rsid w:val="00164514"/>
    <w:rsid w:val="001751CD"/>
    <w:rsid w:val="00180AAF"/>
    <w:rsid w:val="001877A7"/>
    <w:rsid w:val="00197A91"/>
    <w:rsid w:val="001A6551"/>
    <w:rsid w:val="001B2262"/>
    <w:rsid w:val="001B3BA6"/>
    <w:rsid w:val="001C7D68"/>
    <w:rsid w:val="001D1F0E"/>
    <w:rsid w:val="001D5232"/>
    <w:rsid w:val="001D6C4B"/>
    <w:rsid w:val="001E2E3F"/>
    <w:rsid w:val="001E4C93"/>
    <w:rsid w:val="001F2E0E"/>
    <w:rsid w:val="00203BFA"/>
    <w:rsid w:val="002126D4"/>
    <w:rsid w:val="00213719"/>
    <w:rsid w:val="00216CB6"/>
    <w:rsid w:val="00221771"/>
    <w:rsid w:val="0022247D"/>
    <w:rsid w:val="00223B43"/>
    <w:rsid w:val="00226593"/>
    <w:rsid w:val="002275EE"/>
    <w:rsid w:val="0023265E"/>
    <w:rsid w:val="002378F2"/>
    <w:rsid w:val="0024030C"/>
    <w:rsid w:val="002404CA"/>
    <w:rsid w:val="00241A4A"/>
    <w:rsid w:val="002437AB"/>
    <w:rsid w:val="00251090"/>
    <w:rsid w:val="00253D71"/>
    <w:rsid w:val="00261745"/>
    <w:rsid w:val="00262068"/>
    <w:rsid w:val="002632F1"/>
    <w:rsid w:val="002637D0"/>
    <w:rsid w:val="00267C6A"/>
    <w:rsid w:val="00267DC9"/>
    <w:rsid w:val="00271859"/>
    <w:rsid w:val="0028313F"/>
    <w:rsid w:val="00284B0B"/>
    <w:rsid w:val="002875CC"/>
    <w:rsid w:val="00293A0D"/>
    <w:rsid w:val="00295BE0"/>
    <w:rsid w:val="00297B98"/>
    <w:rsid w:val="002A26B7"/>
    <w:rsid w:val="002A3D30"/>
    <w:rsid w:val="002A6DAC"/>
    <w:rsid w:val="002C45E1"/>
    <w:rsid w:val="002D0CD8"/>
    <w:rsid w:val="002D2780"/>
    <w:rsid w:val="002D27EE"/>
    <w:rsid w:val="002D3BA8"/>
    <w:rsid w:val="002D6437"/>
    <w:rsid w:val="002D69CF"/>
    <w:rsid w:val="002D6D87"/>
    <w:rsid w:val="002E5CCD"/>
    <w:rsid w:val="002F0443"/>
    <w:rsid w:val="002F2F3A"/>
    <w:rsid w:val="002F4C2D"/>
    <w:rsid w:val="002F6385"/>
    <w:rsid w:val="0030003D"/>
    <w:rsid w:val="00305EB7"/>
    <w:rsid w:val="0030699E"/>
    <w:rsid w:val="00311165"/>
    <w:rsid w:val="00330ACB"/>
    <w:rsid w:val="00334495"/>
    <w:rsid w:val="00336831"/>
    <w:rsid w:val="0034147D"/>
    <w:rsid w:val="003425B2"/>
    <w:rsid w:val="003478C3"/>
    <w:rsid w:val="00350A2D"/>
    <w:rsid w:val="00355A1E"/>
    <w:rsid w:val="00355AAE"/>
    <w:rsid w:val="003563AD"/>
    <w:rsid w:val="00356FE0"/>
    <w:rsid w:val="00361530"/>
    <w:rsid w:val="00366559"/>
    <w:rsid w:val="00366E29"/>
    <w:rsid w:val="00370903"/>
    <w:rsid w:val="003727F5"/>
    <w:rsid w:val="0037296D"/>
    <w:rsid w:val="003828BE"/>
    <w:rsid w:val="00383ED5"/>
    <w:rsid w:val="00385DA1"/>
    <w:rsid w:val="003A30F7"/>
    <w:rsid w:val="003A3BC9"/>
    <w:rsid w:val="003A4D99"/>
    <w:rsid w:val="003B0C43"/>
    <w:rsid w:val="003C66DA"/>
    <w:rsid w:val="003C6734"/>
    <w:rsid w:val="003D5DC0"/>
    <w:rsid w:val="003E1BF1"/>
    <w:rsid w:val="003E3156"/>
    <w:rsid w:val="003E69EB"/>
    <w:rsid w:val="003F3EFD"/>
    <w:rsid w:val="003F4DA1"/>
    <w:rsid w:val="00401EFC"/>
    <w:rsid w:val="00402CD6"/>
    <w:rsid w:val="00403C51"/>
    <w:rsid w:val="00404839"/>
    <w:rsid w:val="0041050E"/>
    <w:rsid w:val="0042452F"/>
    <w:rsid w:val="00441EC7"/>
    <w:rsid w:val="00450A99"/>
    <w:rsid w:val="004512C6"/>
    <w:rsid w:val="00451EE9"/>
    <w:rsid w:val="00455532"/>
    <w:rsid w:val="00460223"/>
    <w:rsid w:val="00463972"/>
    <w:rsid w:val="00463A5F"/>
    <w:rsid w:val="004645DA"/>
    <w:rsid w:val="00474B11"/>
    <w:rsid w:val="00475266"/>
    <w:rsid w:val="00480F50"/>
    <w:rsid w:val="00485A12"/>
    <w:rsid w:val="00486954"/>
    <w:rsid w:val="0048710F"/>
    <w:rsid w:val="00492AAD"/>
    <w:rsid w:val="00494722"/>
    <w:rsid w:val="004959E3"/>
    <w:rsid w:val="004A47F4"/>
    <w:rsid w:val="004A4E43"/>
    <w:rsid w:val="004A6081"/>
    <w:rsid w:val="004A7970"/>
    <w:rsid w:val="004B0C71"/>
    <w:rsid w:val="004B12BB"/>
    <w:rsid w:val="004B369D"/>
    <w:rsid w:val="004B4066"/>
    <w:rsid w:val="004B463B"/>
    <w:rsid w:val="004B6653"/>
    <w:rsid w:val="004C6A38"/>
    <w:rsid w:val="004D0F5D"/>
    <w:rsid w:val="004D590A"/>
    <w:rsid w:val="004D795A"/>
    <w:rsid w:val="004E2ED1"/>
    <w:rsid w:val="004E57E9"/>
    <w:rsid w:val="004E7772"/>
    <w:rsid w:val="004F00E9"/>
    <w:rsid w:val="004F372D"/>
    <w:rsid w:val="004F4DE1"/>
    <w:rsid w:val="004F788E"/>
    <w:rsid w:val="0050030D"/>
    <w:rsid w:val="005035E0"/>
    <w:rsid w:val="00505CEA"/>
    <w:rsid w:val="00507BF1"/>
    <w:rsid w:val="0051355D"/>
    <w:rsid w:val="00517165"/>
    <w:rsid w:val="00517673"/>
    <w:rsid w:val="005204D7"/>
    <w:rsid w:val="00521C57"/>
    <w:rsid w:val="00531C4F"/>
    <w:rsid w:val="00536C51"/>
    <w:rsid w:val="00537D94"/>
    <w:rsid w:val="005432E0"/>
    <w:rsid w:val="00543627"/>
    <w:rsid w:val="00551251"/>
    <w:rsid w:val="00555D59"/>
    <w:rsid w:val="005713A7"/>
    <w:rsid w:val="00576C30"/>
    <w:rsid w:val="00584A41"/>
    <w:rsid w:val="0059230F"/>
    <w:rsid w:val="00592EAC"/>
    <w:rsid w:val="005A71AB"/>
    <w:rsid w:val="005A7A1F"/>
    <w:rsid w:val="005B3562"/>
    <w:rsid w:val="005B5212"/>
    <w:rsid w:val="005C1B93"/>
    <w:rsid w:val="005C68EF"/>
    <w:rsid w:val="005D0A59"/>
    <w:rsid w:val="005D4728"/>
    <w:rsid w:val="005D4E42"/>
    <w:rsid w:val="005E011F"/>
    <w:rsid w:val="005E17A4"/>
    <w:rsid w:val="005E38AA"/>
    <w:rsid w:val="005E6714"/>
    <w:rsid w:val="005F0CE4"/>
    <w:rsid w:val="005F3EE3"/>
    <w:rsid w:val="005F55F0"/>
    <w:rsid w:val="00604D64"/>
    <w:rsid w:val="00605257"/>
    <w:rsid w:val="00620088"/>
    <w:rsid w:val="00621626"/>
    <w:rsid w:val="00624541"/>
    <w:rsid w:val="00630AC2"/>
    <w:rsid w:val="006370BA"/>
    <w:rsid w:val="0065187A"/>
    <w:rsid w:val="00660E0A"/>
    <w:rsid w:val="006618D2"/>
    <w:rsid w:val="00662E09"/>
    <w:rsid w:val="00670870"/>
    <w:rsid w:val="0067209E"/>
    <w:rsid w:val="00675356"/>
    <w:rsid w:val="00675522"/>
    <w:rsid w:val="00681A6A"/>
    <w:rsid w:val="00684173"/>
    <w:rsid w:val="00685774"/>
    <w:rsid w:val="00687ED5"/>
    <w:rsid w:val="00691C02"/>
    <w:rsid w:val="00696E6C"/>
    <w:rsid w:val="006A02D6"/>
    <w:rsid w:val="006A4E85"/>
    <w:rsid w:val="006B4068"/>
    <w:rsid w:val="006C2D06"/>
    <w:rsid w:val="006C3327"/>
    <w:rsid w:val="006C6D50"/>
    <w:rsid w:val="006C7725"/>
    <w:rsid w:val="006F43B5"/>
    <w:rsid w:val="00701B94"/>
    <w:rsid w:val="0070281F"/>
    <w:rsid w:val="0070443C"/>
    <w:rsid w:val="00705F2F"/>
    <w:rsid w:val="0071001B"/>
    <w:rsid w:val="00711355"/>
    <w:rsid w:val="00720061"/>
    <w:rsid w:val="00722954"/>
    <w:rsid w:val="00732240"/>
    <w:rsid w:val="007402A5"/>
    <w:rsid w:val="00740C80"/>
    <w:rsid w:val="00741618"/>
    <w:rsid w:val="00743F48"/>
    <w:rsid w:val="00745390"/>
    <w:rsid w:val="00745508"/>
    <w:rsid w:val="00753528"/>
    <w:rsid w:val="00762FDD"/>
    <w:rsid w:val="00763A0F"/>
    <w:rsid w:val="00763FE9"/>
    <w:rsid w:val="007831F4"/>
    <w:rsid w:val="00792AA1"/>
    <w:rsid w:val="00795FFB"/>
    <w:rsid w:val="00796306"/>
    <w:rsid w:val="00796D36"/>
    <w:rsid w:val="007A161D"/>
    <w:rsid w:val="007A30FA"/>
    <w:rsid w:val="007A6F10"/>
    <w:rsid w:val="007B0271"/>
    <w:rsid w:val="007B0E99"/>
    <w:rsid w:val="007B368D"/>
    <w:rsid w:val="007C1C30"/>
    <w:rsid w:val="007D6F5F"/>
    <w:rsid w:val="007E07EC"/>
    <w:rsid w:val="007E2C3C"/>
    <w:rsid w:val="007E6C48"/>
    <w:rsid w:val="007F12AC"/>
    <w:rsid w:val="00803715"/>
    <w:rsid w:val="008051B8"/>
    <w:rsid w:val="00813ADA"/>
    <w:rsid w:val="00813F60"/>
    <w:rsid w:val="00815A9D"/>
    <w:rsid w:val="00816FCF"/>
    <w:rsid w:val="008176E7"/>
    <w:rsid w:val="00817BAD"/>
    <w:rsid w:val="00822AF8"/>
    <w:rsid w:val="008232A3"/>
    <w:rsid w:val="008245A3"/>
    <w:rsid w:val="0084071F"/>
    <w:rsid w:val="0084187F"/>
    <w:rsid w:val="0084206D"/>
    <w:rsid w:val="0086055A"/>
    <w:rsid w:val="008631AB"/>
    <w:rsid w:val="00865298"/>
    <w:rsid w:val="00874680"/>
    <w:rsid w:val="00875422"/>
    <w:rsid w:val="00883961"/>
    <w:rsid w:val="00884B7E"/>
    <w:rsid w:val="00885F0D"/>
    <w:rsid w:val="00895CC6"/>
    <w:rsid w:val="008A55E6"/>
    <w:rsid w:val="008A6723"/>
    <w:rsid w:val="008B140A"/>
    <w:rsid w:val="008B15F1"/>
    <w:rsid w:val="008B184F"/>
    <w:rsid w:val="008B34B0"/>
    <w:rsid w:val="008C37EE"/>
    <w:rsid w:val="008D3B48"/>
    <w:rsid w:val="008E053A"/>
    <w:rsid w:val="008E3B26"/>
    <w:rsid w:val="008E7F98"/>
    <w:rsid w:val="008F3DCB"/>
    <w:rsid w:val="009065AF"/>
    <w:rsid w:val="00913690"/>
    <w:rsid w:val="009423BB"/>
    <w:rsid w:val="00950A55"/>
    <w:rsid w:val="00951C06"/>
    <w:rsid w:val="009542E9"/>
    <w:rsid w:val="00961BE6"/>
    <w:rsid w:val="00964E1F"/>
    <w:rsid w:val="00965632"/>
    <w:rsid w:val="00987DD4"/>
    <w:rsid w:val="00991909"/>
    <w:rsid w:val="009929B3"/>
    <w:rsid w:val="00993BBA"/>
    <w:rsid w:val="00994BFA"/>
    <w:rsid w:val="0099599D"/>
    <w:rsid w:val="009A14A8"/>
    <w:rsid w:val="009A2EDF"/>
    <w:rsid w:val="009A3564"/>
    <w:rsid w:val="009B50BF"/>
    <w:rsid w:val="009C11E4"/>
    <w:rsid w:val="009C3236"/>
    <w:rsid w:val="009C5E1A"/>
    <w:rsid w:val="009D541E"/>
    <w:rsid w:val="009D5424"/>
    <w:rsid w:val="009D61F9"/>
    <w:rsid w:val="009E1170"/>
    <w:rsid w:val="009E15F3"/>
    <w:rsid w:val="009E23B2"/>
    <w:rsid w:val="009E2FD9"/>
    <w:rsid w:val="009E7C1F"/>
    <w:rsid w:val="009F23AA"/>
    <w:rsid w:val="009F530A"/>
    <w:rsid w:val="00A000AE"/>
    <w:rsid w:val="00A033F2"/>
    <w:rsid w:val="00A06AFE"/>
    <w:rsid w:val="00A130E5"/>
    <w:rsid w:val="00A15C6D"/>
    <w:rsid w:val="00A37251"/>
    <w:rsid w:val="00A37681"/>
    <w:rsid w:val="00A379AC"/>
    <w:rsid w:val="00A404D8"/>
    <w:rsid w:val="00A408B9"/>
    <w:rsid w:val="00A5134A"/>
    <w:rsid w:val="00A51BC3"/>
    <w:rsid w:val="00A54463"/>
    <w:rsid w:val="00A61C60"/>
    <w:rsid w:val="00A733FC"/>
    <w:rsid w:val="00A81D78"/>
    <w:rsid w:val="00A9146B"/>
    <w:rsid w:val="00A9352E"/>
    <w:rsid w:val="00A94B43"/>
    <w:rsid w:val="00AB252B"/>
    <w:rsid w:val="00AB7AC2"/>
    <w:rsid w:val="00AC5434"/>
    <w:rsid w:val="00AC6DB3"/>
    <w:rsid w:val="00AD0573"/>
    <w:rsid w:val="00AD0FA0"/>
    <w:rsid w:val="00AE2EA4"/>
    <w:rsid w:val="00AE5666"/>
    <w:rsid w:val="00AE5FEE"/>
    <w:rsid w:val="00AE694F"/>
    <w:rsid w:val="00AF0E07"/>
    <w:rsid w:val="00AF7F75"/>
    <w:rsid w:val="00B05017"/>
    <w:rsid w:val="00B06A19"/>
    <w:rsid w:val="00B07FCF"/>
    <w:rsid w:val="00B10FBA"/>
    <w:rsid w:val="00B12696"/>
    <w:rsid w:val="00B12D72"/>
    <w:rsid w:val="00B13219"/>
    <w:rsid w:val="00B16EBA"/>
    <w:rsid w:val="00B20B74"/>
    <w:rsid w:val="00B24D2F"/>
    <w:rsid w:val="00B27664"/>
    <w:rsid w:val="00B312B9"/>
    <w:rsid w:val="00B33EA9"/>
    <w:rsid w:val="00B34C46"/>
    <w:rsid w:val="00B37FBF"/>
    <w:rsid w:val="00B423F5"/>
    <w:rsid w:val="00B45E5E"/>
    <w:rsid w:val="00B47009"/>
    <w:rsid w:val="00B50637"/>
    <w:rsid w:val="00B54513"/>
    <w:rsid w:val="00B6539F"/>
    <w:rsid w:val="00B67964"/>
    <w:rsid w:val="00B67E4E"/>
    <w:rsid w:val="00B75518"/>
    <w:rsid w:val="00B8130C"/>
    <w:rsid w:val="00B83F74"/>
    <w:rsid w:val="00B847D0"/>
    <w:rsid w:val="00B9275E"/>
    <w:rsid w:val="00BA3D9F"/>
    <w:rsid w:val="00BA436F"/>
    <w:rsid w:val="00BA5EA1"/>
    <w:rsid w:val="00BB06A0"/>
    <w:rsid w:val="00BB29EB"/>
    <w:rsid w:val="00BB3049"/>
    <w:rsid w:val="00BB4446"/>
    <w:rsid w:val="00BB67F9"/>
    <w:rsid w:val="00BB7604"/>
    <w:rsid w:val="00BC1DD9"/>
    <w:rsid w:val="00BC1F4D"/>
    <w:rsid w:val="00BC3B4A"/>
    <w:rsid w:val="00BC6663"/>
    <w:rsid w:val="00BD50E2"/>
    <w:rsid w:val="00BE18C1"/>
    <w:rsid w:val="00BF0BA6"/>
    <w:rsid w:val="00BF3E8F"/>
    <w:rsid w:val="00BF7349"/>
    <w:rsid w:val="00C06DBD"/>
    <w:rsid w:val="00C13395"/>
    <w:rsid w:val="00C1450B"/>
    <w:rsid w:val="00C20A45"/>
    <w:rsid w:val="00C227A3"/>
    <w:rsid w:val="00C2554C"/>
    <w:rsid w:val="00C26BB5"/>
    <w:rsid w:val="00C344F9"/>
    <w:rsid w:val="00C35CA5"/>
    <w:rsid w:val="00C43DA1"/>
    <w:rsid w:val="00C45C04"/>
    <w:rsid w:val="00C52823"/>
    <w:rsid w:val="00C551F1"/>
    <w:rsid w:val="00C71721"/>
    <w:rsid w:val="00C73521"/>
    <w:rsid w:val="00C97C29"/>
    <w:rsid w:val="00CA13E0"/>
    <w:rsid w:val="00CA3692"/>
    <w:rsid w:val="00CA694D"/>
    <w:rsid w:val="00CB3D7E"/>
    <w:rsid w:val="00CB7275"/>
    <w:rsid w:val="00CC6083"/>
    <w:rsid w:val="00CD64F7"/>
    <w:rsid w:val="00CE133E"/>
    <w:rsid w:val="00CE2600"/>
    <w:rsid w:val="00CF4A7E"/>
    <w:rsid w:val="00CF6B99"/>
    <w:rsid w:val="00D00486"/>
    <w:rsid w:val="00D0322D"/>
    <w:rsid w:val="00D2019F"/>
    <w:rsid w:val="00D25FBC"/>
    <w:rsid w:val="00D26D33"/>
    <w:rsid w:val="00D30F54"/>
    <w:rsid w:val="00D40738"/>
    <w:rsid w:val="00D521F0"/>
    <w:rsid w:val="00D524B7"/>
    <w:rsid w:val="00D551B2"/>
    <w:rsid w:val="00D57706"/>
    <w:rsid w:val="00D6314E"/>
    <w:rsid w:val="00D63F7C"/>
    <w:rsid w:val="00D7506C"/>
    <w:rsid w:val="00D82741"/>
    <w:rsid w:val="00D82A96"/>
    <w:rsid w:val="00D9250A"/>
    <w:rsid w:val="00D93D85"/>
    <w:rsid w:val="00DA203B"/>
    <w:rsid w:val="00DA5F20"/>
    <w:rsid w:val="00DB0B67"/>
    <w:rsid w:val="00DB1201"/>
    <w:rsid w:val="00DB3ED4"/>
    <w:rsid w:val="00DB5D4C"/>
    <w:rsid w:val="00DC104D"/>
    <w:rsid w:val="00DD1346"/>
    <w:rsid w:val="00DD193B"/>
    <w:rsid w:val="00DD3ECE"/>
    <w:rsid w:val="00DD4F4C"/>
    <w:rsid w:val="00DD59B7"/>
    <w:rsid w:val="00DD6AED"/>
    <w:rsid w:val="00DE0613"/>
    <w:rsid w:val="00DE5BF2"/>
    <w:rsid w:val="00DE75FF"/>
    <w:rsid w:val="00DF7335"/>
    <w:rsid w:val="00E06D27"/>
    <w:rsid w:val="00E10DE8"/>
    <w:rsid w:val="00E111B2"/>
    <w:rsid w:val="00E1463B"/>
    <w:rsid w:val="00E16492"/>
    <w:rsid w:val="00E1718E"/>
    <w:rsid w:val="00E229A5"/>
    <w:rsid w:val="00E42518"/>
    <w:rsid w:val="00E54DD8"/>
    <w:rsid w:val="00E5514D"/>
    <w:rsid w:val="00E654A1"/>
    <w:rsid w:val="00E81718"/>
    <w:rsid w:val="00E91AFB"/>
    <w:rsid w:val="00E91E5A"/>
    <w:rsid w:val="00EA05D8"/>
    <w:rsid w:val="00EA0685"/>
    <w:rsid w:val="00EA5BF8"/>
    <w:rsid w:val="00EC0E6D"/>
    <w:rsid w:val="00EC43AD"/>
    <w:rsid w:val="00EC73DF"/>
    <w:rsid w:val="00EC74A6"/>
    <w:rsid w:val="00ED1E4C"/>
    <w:rsid w:val="00ED2618"/>
    <w:rsid w:val="00ED3980"/>
    <w:rsid w:val="00ED4555"/>
    <w:rsid w:val="00ED6A89"/>
    <w:rsid w:val="00ED71D9"/>
    <w:rsid w:val="00EE20DA"/>
    <w:rsid w:val="00EE58D1"/>
    <w:rsid w:val="00EE7C53"/>
    <w:rsid w:val="00EF307E"/>
    <w:rsid w:val="00F05255"/>
    <w:rsid w:val="00F10202"/>
    <w:rsid w:val="00F140DD"/>
    <w:rsid w:val="00F17664"/>
    <w:rsid w:val="00F17929"/>
    <w:rsid w:val="00F303A8"/>
    <w:rsid w:val="00F311F9"/>
    <w:rsid w:val="00F40EAA"/>
    <w:rsid w:val="00F431F8"/>
    <w:rsid w:val="00F50046"/>
    <w:rsid w:val="00F614F7"/>
    <w:rsid w:val="00F658B9"/>
    <w:rsid w:val="00F819E9"/>
    <w:rsid w:val="00F92A8D"/>
    <w:rsid w:val="00FA252A"/>
    <w:rsid w:val="00FA7851"/>
    <w:rsid w:val="00FA7A13"/>
    <w:rsid w:val="00FB190D"/>
    <w:rsid w:val="00FC064E"/>
    <w:rsid w:val="00FC24EF"/>
    <w:rsid w:val="00FC2B71"/>
    <w:rsid w:val="00FC6D6B"/>
    <w:rsid w:val="00FD137F"/>
    <w:rsid w:val="00FD4ADF"/>
    <w:rsid w:val="00FD4CEC"/>
    <w:rsid w:val="00FD60FE"/>
    <w:rsid w:val="00FE5DDF"/>
    <w:rsid w:val="00FF06E6"/>
    <w:rsid w:val="00FF79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
        <o:r id="V:Rule2"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DF"/>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qFormat/>
    <w:rsid w:val="00FE5DDF"/>
    <w:pPr>
      <w:keepNext/>
      <w:spacing w:before="60"/>
      <w:jc w:val="center"/>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FE5DDF"/>
    <w:rPr>
      <w:rFonts w:ascii="Times New Roman" w:eastAsia="Times New Roman" w:hAnsi="Times New Roman" w:cs="Times New Roman"/>
      <w:b/>
      <w:sz w:val="28"/>
      <w:szCs w:val="28"/>
    </w:rPr>
  </w:style>
  <w:style w:type="paragraph" w:styleId="Footer">
    <w:name w:val="footer"/>
    <w:basedOn w:val="Normal"/>
    <w:link w:val="FooterChar"/>
    <w:uiPriority w:val="99"/>
    <w:rsid w:val="00FE5DDF"/>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FE5DDF"/>
    <w:rPr>
      <w:rFonts w:ascii=".VnTime" w:eastAsia="Times New Roman" w:hAnsi=".VnTime" w:cs="Times New Roman"/>
      <w:sz w:val="28"/>
      <w:szCs w:val="28"/>
    </w:rPr>
  </w:style>
  <w:style w:type="paragraph" w:styleId="Header">
    <w:name w:val="header"/>
    <w:basedOn w:val="Normal"/>
    <w:link w:val="HeaderChar"/>
    <w:uiPriority w:val="99"/>
    <w:rsid w:val="00FE5DDF"/>
    <w:pPr>
      <w:tabs>
        <w:tab w:val="center" w:pos="4320"/>
        <w:tab w:val="right" w:pos="8640"/>
      </w:tabs>
    </w:pPr>
  </w:style>
  <w:style w:type="character" w:customStyle="1" w:styleId="HeaderChar">
    <w:name w:val="Header Char"/>
    <w:basedOn w:val="DefaultParagraphFont"/>
    <w:link w:val="Header"/>
    <w:uiPriority w:val="99"/>
    <w:rsid w:val="00FE5DDF"/>
    <w:rPr>
      <w:rFonts w:ascii="Times New Roman" w:eastAsia="Times New Roman" w:hAnsi="Times New Roman" w:cs="Times New Roman"/>
      <w:sz w:val="24"/>
      <w:szCs w:val="24"/>
    </w:rPr>
  </w:style>
  <w:style w:type="paragraph" w:styleId="ListParagraph">
    <w:name w:val="List Paragraph"/>
    <w:basedOn w:val="Normal"/>
    <w:uiPriority w:val="34"/>
    <w:qFormat/>
    <w:rsid w:val="00FE5DDF"/>
    <w:pPr>
      <w:ind w:left="720"/>
      <w:contextualSpacing/>
    </w:pPr>
  </w:style>
  <w:style w:type="paragraph" w:styleId="FootnoteText">
    <w:name w:val="footnote text"/>
    <w:basedOn w:val="Normal"/>
    <w:link w:val="FootnoteTextChar"/>
    <w:uiPriority w:val="99"/>
    <w:unhideWhenUsed/>
    <w:rsid w:val="00FE5DDF"/>
    <w:rPr>
      <w:rFonts w:eastAsiaTheme="minorHAnsi" w:cstheme="minorBidi"/>
      <w:sz w:val="20"/>
      <w:szCs w:val="20"/>
      <w:lang w:val="vi-VN"/>
    </w:rPr>
  </w:style>
  <w:style w:type="character" w:customStyle="1" w:styleId="FootnoteTextChar">
    <w:name w:val="Footnote Text Char"/>
    <w:basedOn w:val="DefaultParagraphFont"/>
    <w:link w:val="FootnoteText"/>
    <w:uiPriority w:val="99"/>
    <w:rsid w:val="00FE5DDF"/>
    <w:rPr>
      <w:rFonts w:ascii="Times New Roman" w:hAnsi="Times New Roman"/>
      <w:sz w:val="20"/>
      <w:szCs w:val="20"/>
      <w:lang w:val="vi-VN"/>
    </w:rPr>
  </w:style>
  <w:style w:type="character" w:styleId="FootnoteReference">
    <w:name w:val="footnote reference"/>
    <w:basedOn w:val="DefaultParagraphFont"/>
    <w:unhideWhenUsed/>
    <w:rsid w:val="00FE5DDF"/>
    <w:rPr>
      <w:vertAlign w:val="superscript"/>
    </w:rPr>
  </w:style>
  <w:style w:type="paragraph" w:customStyle="1" w:styleId="tit">
    <w:name w:val="tit"/>
    <w:basedOn w:val="Normal"/>
    <w:rsid w:val="00FE5DDF"/>
    <w:pPr>
      <w:widowControl w:val="0"/>
      <w:autoSpaceDE w:val="0"/>
      <w:autoSpaceDN w:val="0"/>
      <w:jc w:val="center"/>
    </w:pPr>
    <w:rPr>
      <w:rFonts w:ascii=".VnCentury SchoolbookH" w:hAnsi=".VnCentury SchoolbookH"/>
      <w:b/>
      <w:bCs/>
      <w:sz w:val="26"/>
      <w:szCs w:val="20"/>
    </w:rPr>
  </w:style>
  <w:style w:type="paragraph" w:styleId="BalloonText">
    <w:name w:val="Balloon Text"/>
    <w:basedOn w:val="Normal"/>
    <w:link w:val="BalloonTextChar"/>
    <w:uiPriority w:val="99"/>
    <w:semiHidden/>
    <w:unhideWhenUsed/>
    <w:rsid w:val="003E69EB"/>
    <w:rPr>
      <w:rFonts w:ascii="Tahoma" w:hAnsi="Tahoma" w:cs="Tahoma"/>
      <w:sz w:val="16"/>
      <w:szCs w:val="16"/>
    </w:rPr>
  </w:style>
  <w:style w:type="character" w:customStyle="1" w:styleId="BalloonTextChar">
    <w:name w:val="Balloon Text Char"/>
    <w:basedOn w:val="DefaultParagraphFont"/>
    <w:link w:val="BalloonText"/>
    <w:uiPriority w:val="99"/>
    <w:semiHidden/>
    <w:rsid w:val="003E69EB"/>
    <w:rPr>
      <w:rFonts w:ascii="Tahoma" w:eastAsia="Times New Roman" w:hAnsi="Tahoma" w:cs="Tahoma"/>
      <w:sz w:val="16"/>
      <w:szCs w:val="16"/>
    </w:rPr>
  </w:style>
  <w:style w:type="character" w:styleId="Hyperlink">
    <w:name w:val="Hyperlink"/>
    <w:basedOn w:val="DefaultParagraphFont"/>
    <w:uiPriority w:val="99"/>
    <w:semiHidden/>
    <w:unhideWhenUsed/>
    <w:rsid w:val="00D57706"/>
    <w:rPr>
      <w:color w:val="0000FF" w:themeColor="hyperlink"/>
      <w:u w:val="single"/>
    </w:rPr>
  </w:style>
  <w:style w:type="paragraph" w:styleId="NormalWeb">
    <w:name w:val="Normal (Web)"/>
    <w:basedOn w:val="Normal"/>
    <w:uiPriority w:val="99"/>
    <w:unhideWhenUsed/>
    <w:rsid w:val="00E171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DF"/>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qFormat/>
    <w:rsid w:val="00FE5DDF"/>
    <w:pPr>
      <w:keepNext/>
      <w:spacing w:before="60"/>
      <w:jc w:val="center"/>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FE5DDF"/>
    <w:rPr>
      <w:rFonts w:ascii="Times New Roman" w:eastAsia="Times New Roman" w:hAnsi="Times New Roman" w:cs="Times New Roman"/>
      <w:b/>
      <w:sz w:val="28"/>
      <w:szCs w:val="28"/>
    </w:rPr>
  </w:style>
  <w:style w:type="paragraph" w:styleId="Footer">
    <w:name w:val="footer"/>
    <w:basedOn w:val="Normal"/>
    <w:link w:val="FooterChar"/>
    <w:uiPriority w:val="99"/>
    <w:rsid w:val="00FE5DDF"/>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FE5DDF"/>
    <w:rPr>
      <w:rFonts w:ascii=".VnTime" w:eastAsia="Times New Roman" w:hAnsi=".VnTime" w:cs="Times New Roman"/>
      <w:sz w:val="28"/>
      <w:szCs w:val="28"/>
    </w:rPr>
  </w:style>
  <w:style w:type="paragraph" w:styleId="Header">
    <w:name w:val="header"/>
    <w:basedOn w:val="Normal"/>
    <w:link w:val="HeaderChar"/>
    <w:uiPriority w:val="99"/>
    <w:rsid w:val="00FE5DDF"/>
    <w:pPr>
      <w:tabs>
        <w:tab w:val="center" w:pos="4320"/>
        <w:tab w:val="right" w:pos="8640"/>
      </w:tabs>
    </w:pPr>
  </w:style>
  <w:style w:type="character" w:customStyle="1" w:styleId="HeaderChar">
    <w:name w:val="Header Char"/>
    <w:basedOn w:val="DefaultParagraphFont"/>
    <w:link w:val="Header"/>
    <w:uiPriority w:val="99"/>
    <w:rsid w:val="00FE5DDF"/>
    <w:rPr>
      <w:rFonts w:ascii="Times New Roman" w:eastAsia="Times New Roman" w:hAnsi="Times New Roman" w:cs="Times New Roman"/>
      <w:sz w:val="24"/>
      <w:szCs w:val="24"/>
    </w:rPr>
  </w:style>
  <w:style w:type="paragraph" w:styleId="ListParagraph">
    <w:name w:val="List Paragraph"/>
    <w:basedOn w:val="Normal"/>
    <w:uiPriority w:val="34"/>
    <w:qFormat/>
    <w:rsid w:val="00FE5DDF"/>
    <w:pPr>
      <w:ind w:left="720"/>
      <w:contextualSpacing/>
    </w:pPr>
  </w:style>
  <w:style w:type="paragraph" w:styleId="FootnoteText">
    <w:name w:val="footnote text"/>
    <w:basedOn w:val="Normal"/>
    <w:link w:val="FootnoteTextChar"/>
    <w:uiPriority w:val="99"/>
    <w:unhideWhenUsed/>
    <w:rsid w:val="00FE5DDF"/>
    <w:rPr>
      <w:rFonts w:eastAsiaTheme="minorHAnsi" w:cstheme="minorBidi"/>
      <w:sz w:val="20"/>
      <w:szCs w:val="20"/>
      <w:lang w:val="vi-VN"/>
    </w:rPr>
  </w:style>
  <w:style w:type="character" w:customStyle="1" w:styleId="FootnoteTextChar">
    <w:name w:val="Footnote Text Char"/>
    <w:basedOn w:val="DefaultParagraphFont"/>
    <w:link w:val="FootnoteText"/>
    <w:uiPriority w:val="99"/>
    <w:rsid w:val="00FE5DDF"/>
    <w:rPr>
      <w:rFonts w:ascii="Times New Roman" w:hAnsi="Times New Roman"/>
      <w:sz w:val="20"/>
      <w:szCs w:val="20"/>
      <w:lang w:val="vi-VN"/>
    </w:rPr>
  </w:style>
  <w:style w:type="character" w:styleId="FootnoteReference">
    <w:name w:val="footnote reference"/>
    <w:basedOn w:val="DefaultParagraphFont"/>
    <w:unhideWhenUsed/>
    <w:rsid w:val="00FE5DDF"/>
    <w:rPr>
      <w:vertAlign w:val="superscript"/>
    </w:rPr>
  </w:style>
  <w:style w:type="paragraph" w:customStyle="1" w:styleId="tit">
    <w:name w:val="tit"/>
    <w:basedOn w:val="Normal"/>
    <w:rsid w:val="00FE5DDF"/>
    <w:pPr>
      <w:widowControl w:val="0"/>
      <w:autoSpaceDE w:val="0"/>
      <w:autoSpaceDN w:val="0"/>
      <w:jc w:val="center"/>
    </w:pPr>
    <w:rPr>
      <w:rFonts w:ascii=".VnCentury SchoolbookH" w:hAnsi=".VnCentury SchoolbookH"/>
      <w:b/>
      <w:bCs/>
      <w:sz w:val="26"/>
      <w:szCs w:val="20"/>
    </w:rPr>
  </w:style>
  <w:style w:type="paragraph" w:styleId="BalloonText">
    <w:name w:val="Balloon Text"/>
    <w:basedOn w:val="Normal"/>
    <w:link w:val="BalloonTextChar"/>
    <w:uiPriority w:val="99"/>
    <w:semiHidden/>
    <w:unhideWhenUsed/>
    <w:rsid w:val="003E69EB"/>
    <w:rPr>
      <w:rFonts w:ascii="Tahoma" w:hAnsi="Tahoma" w:cs="Tahoma"/>
      <w:sz w:val="16"/>
      <w:szCs w:val="16"/>
    </w:rPr>
  </w:style>
  <w:style w:type="character" w:customStyle="1" w:styleId="BalloonTextChar">
    <w:name w:val="Balloon Text Char"/>
    <w:basedOn w:val="DefaultParagraphFont"/>
    <w:link w:val="BalloonText"/>
    <w:uiPriority w:val="99"/>
    <w:semiHidden/>
    <w:rsid w:val="003E69EB"/>
    <w:rPr>
      <w:rFonts w:ascii="Tahoma" w:eastAsia="Times New Roman" w:hAnsi="Tahoma" w:cs="Tahoma"/>
      <w:sz w:val="16"/>
      <w:szCs w:val="16"/>
    </w:rPr>
  </w:style>
  <w:style w:type="character" w:styleId="Hyperlink">
    <w:name w:val="Hyperlink"/>
    <w:basedOn w:val="DefaultParagraphFont"/>
    <w:uiPriority w:val="99"/>
    <w:semiHidden/>
    <w:unhideWhenUsed/>
    <w:rsid w:val="00D57706"/>
    <w:rPr>
      <w:color w:val="0000FF" w:themeColor="hyperlink"/>
      <w:u w:val="single"/>
    </w:rPr>
  </w:style>
  <w:style w:type="paragraph" w:styleId="NormalWeb">
    <w:name w:val="Normal (Web)"/>
    <w:basedOn w:val="Normal"/>
    <w:uiPriority w:val="99"/>
    <w:unhideWhenUsed/>
    <w:rsid w:val="00E171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585">
      <w:bodyDiv w:val="1"/>
      <w:marLeft w:val="0"/>
      <w:marRight w:val="0"/>
      <w:marTop w:val="0"/>
      <w:marBottom w:val="0"/>
      <w:divBdr>
        <w:top w:val="none" w:sz="0" w:space="0" w:color="auto"/>
        <w:left w:val="none" w:sz="0" w:space="0" w:color="auto"/>
        <w:bottom w:val="none" w:sz="0" w:space="0" w:color="auto"/>
        <w:right w:val="none" w:sz="0" w:space="0" w:color="auto"/>
      </w:divBdr>
    </w:div>
    <w:div w:id="22873097">
      <w:bodyDiv w:val="1"/>
      <w:marLeft w:val="0"/>
      <w:marRight w:val="0"/>
      <w:marTop w:val="0"/>
      <w:marBottom w:val="0"/>
      <w:divBdr>
        <w:top w:val="none" w:sz="0" w:space="0" w:color="auto"/>
        <w:left w:val="none" w:sz="0" w:space="0" w:color="auto"/>
        <w:bottom w:val="none" w:sz="0" w:space="0" w:color="auto"/>
        <w:right w:val="none" w:sz="0" w:space="0" w:color="auto"/>
      </w:divBdr>
    </w:div>
    <w:div w:id="62720938">
      <w:bodyDiv w:val="1"/>
      <w:marLeft w:val="0"/>
      <w:marRight w:val="0"/>
      <w:marTop w:val="0"/>
      <w:marBottom w:val="0"/>
      <w:divBdr>
        <w:top w:val="none" w:sz="0" w:space="0" w:color="auto"/>
        <w:left w:val="none" w:sz="0" w:space="0" w:color="auto"/>
        <w:bottom w:val="none" w:sz="0" w:space="0" w:color="auto"/>
        <w:right w:val="none" w:sz="0" w:space="0" w:color="auto"/>
      </w:divBdr>
    </w:div>
    <w:div w:id="77139505">
      <w:bodyDiv w:val="1"/>
      <w:marLeft w:val="0"/>
      <w:marRight w:val="0"/>
      <w:marTop w:val="0"/>
      <w:marBottom w:val="0"/>
      <w:divBdr>
        <w:top w:val="none" w:sz="0" w:space="0" w:color="auto"/>
        <w:left w:val="none" w:sz="0" w:space="0" w:color="auto"/>
        <w:bottom w:val="none" w:sz="0" w:space="0" w:color="auto"/>
        <w:right w:val="none" w:sz="0" w:space="0" w:color="auto"/>
      </w:divBdr>
    </w:div>
    <w:div w:id="84767885">
      <w:bodyDiv w:val="1"/>
      <w:marLeft w:val="0"/>
      <w:marRight w:val="0"/>
      <w:marTop w:val="0"/>
      <w:marBottom w:val="0"/>
      <w:divBdr>
        <w:top w:val="none" w:sz="0" w:space="0" w:color="auto"/>
        <w:left w:val="none" w:sz="0" w:space="0" w:color="auto"/>
        <w:bottom w:val="none" w:sz="0" w:space="0" w:color="auto"/>
        <w:right w:val="none" w:sz="0" w:space="0" w:color="auto"/>
      </w:divBdr>
    </w:div>
    <w:div w:id="109589919">
      <w:bodyDiv w:val="1"/>
      <w:marLeft w:val="0"/>
      <w:marRight w:val="0"/>
      <w:marTop w:val="0"/>
      <w:marBottom w:val="0"/>
      <w:divBdr>
        <w:top w:val="none" w:sz="0" w:space="0" w:color="auto"/>
        <w:left w:val="none" w:sz="0" w:space="0" w:color="auto"/>
        <w:bottom w:val="none" w:sz="0" w:space="0" w:color="auto"/>
        <w:right w:val="none" w:sz="0" w:space="0" w:color="auto"/>
      </w:divBdr>
    </w:div>
    <w:div w:id="234046961">
      <w:bodyDiv w:val="1"/>
      <w:marLeft w:val="0"/>
      <w:marRight w:val="0"/>
      <w:marTop w:val="0"/>
      <w:marBottom w:val="0"/>
      <w:divBdr>
        <w:top w:val="none" w:sz="0" w:space="0" w:color="auto"/>
        <w:left w:val="none" w:sz="0" w:space="0" w:color="auto"/>
        <w:bottom w:val="none" w:sz="0" w:space="0" w:color="auto"/>
        <w:right w:val="none" w:sz="0" w:space="0" w:color="auto"/>
      </w:divBdr>
    </w:div>
    <w:div w:id="262764616">
      <w:bodyDiv w:val="1"/>
      <w:marLeft w:val="0"/>
      <w:marRight w:val="0"/>
      <w:marTop w:val="0"/>
      <w:marBottom w:val="0"/>
      <w:divBdr>
        <w:top w:val="none" w:sz="0" w:space="0" w:color="auto"/>
        <w:left w:val="none" w:sz="0" w:space="0" w:color="auto"/>
        <w:bottom w:val="none" w:sz="0" w:space="0" w:color="auto"/>
        <w:right w:val="none" w:sz="0" w:space="0" w:color="auto"/>
      </w:divBdr>
    </w:div>
    <w:div w:id="267660964">
      <w:bodyDiv w:val="1"/>
      <w:marLeft w:val="0"/>
      <w:marRight w:val="0"/>
      <w:marTop w:val="0"/>
      <w:marBottom w:val="0"/>
      <w:divBdr>
        <w:top w:val="none" w:sz="0" w:space="0" w:color="auto"/>
        <w:left w:val="none" w:sz="0" w:space="0" w:color="auto"/>
        <w:bottom w:val="none" w:sz="0" w:space="0" w:color="auto"/>
        <w:right w:val="none" w:sz="0" w:space="0" w:color="auto"/>
      </w:divBdr>
    </w:div>
    <w:div w:id="471674915">
      <w:bodyDiv w:val="1"/>
      <w:marLeft w:val="0"/>
      <w:marRight w:val="0"/>
      <w:marTop w:val="0"/>
      <w:marBottom w:val="0"/>
      <w:divBdr>
        <w:top w:val="none" w:sz="0" w:space="0" w:color="auto"/>
        <w:left w:val="none" w:sz="0" w:space="0" w:color="auto"/>
        <w:bottom w:val="none" w:sz="0" w:space="0" w:color="auto"/>
        <w:right w:val="none" w:sz="0" w:space="0" w:color="auto"/>
      </w:divBdr>
    </w:div>
    <w:div w:id="491070847">
      <w:bodyDiv w:val="1"/>
      <w:marLeft w:val="0"/>
      <w:marRight w:val="0"/>
      <w:marTop w:val="0"/>
      <w:marBottom w:val="0"/>
      <w:divBdr>
        <w:top w:val="none" w:sz="0" w:space="0" w:color="auto"/>
        <w:left w:val="none" w:sz="0" w:space="0" w:color="auto"/>
        <w:bottom w:val="none" w:sz="0" w:space="0" w:color="auto"/>
        <w:right w:val="none" w:sz="0" w:space="0" w:color="auto"/>
      </w:divBdr>
    </w:div>
    <w:div w:id="570426193">
      <w:bodyDiv w:val="1"/>
      <w:marLeft w:val="0"/>
      <w:marRight w:val="0"/>
      <w:marTop w:val="0"/>
      <w:marBottom w:val="0"/>
      <w:divBdr>
        <w:top w:val="none" w:sz="0" w:space="0" w:color="auto"/>
        <w:left w:val="none" w:sz="0" w:space="0" w:color="auto"/>
        <w:bottom w:val="none" w:sz="0" w:space="0" w:color="auto"/>
        <w:right w:val="none" w:sz="0" w:space="0" w:color="auto"/>
      </w:divBdr>
    </w:div>
    <w:div w:id="614366359">
      <w:bodyDiv w:val="1"/>
      <w:marLeft w:val="0"/>
      <w:marRight w:val="0"/>
      <w:marTop w:val="0"/>
      <w:marBottom w:val="0"/>
      <w:divBdr>
        <w:top w:val="none" w:sz="0" w:space="0" w:color="auto"/>
        <w:left w:val="none" w:sz="0" w:space="0" w:color="auto"/>
        <w:bottom w:val="none" w:sz="0" w:space="0" w:color="auto"/>
        <w:right w:val="none" w:sz="0" w:space="0" w:color="auto"/>
      </w:divBdr>
    </w:div>
    <w:div w:id="635381551">
      <w:bodyDiv w:val="1"/>
      <w:marLeft w:val="0"/>
      <w:marRight w:val="0"/>
      <w:marTop w:val="0"/>
      <w:marBottom w:val="0"/>
      <w:divBdr>
        <w:top w:val="none" w:sz="0" w:space="0" w:color="auto"/>
        <w:left w:val="none" w:sz="0" w:space="0" w:color="auto"/>
        <w:bottom w:val="none" w:sz="0" w:space="0" w:color="auto"/>
        <w:right w:val="none" w:sz="0" w:space="0" w:color="auto"/>
      </w:divBdr>
    </w:div>
    <w:div w:id="688023546">
      <w:bodyDiv w:val="1"/>
      <w:marLeft w:val="0"/>
      <w:marRight w:val="0"/>
      <w:marTop w:val="0"/>
      <w:marBottom w:val="0"/>
      <w:divBdr>
        <w:top w:val="none" w:sz="0" w:space="0" w:color="auto"/>
        <w:left w:val="none" w:sz="0" w:space="0" w:color="auto"/>
        <w:bottom w:val="none" w:sz="0" w:space="0" w:color="auto"/>
        <w:right w:val="none" w:sz="0" w:space="0" w:color="auto"/>
      </w:divBdr>
    </w:div>
    <w:div w:id="778911510">
      <w:bodyDiv w:val="1"/>
      <w:marLeft w:val="0"/>
      <w:marRight w:val="0"/>
      <w:marTop w:val="0"/>
      <w:marBottom w:val="0"/>
      <w:divBdr>
        <w:top w:val="none" w:sz="0" w:space="0" w:color="auto"/>
        <w:left w:val="none" w:sz="0" w:space="0" w:color="auto"/>
        <w:bottom w:val="none" w:sz="0" w:space="0" w:color="auto"/>
        <w:right w:val="none" w:sz="0" w:space="0" w:color="auto"/>
      </w:divBdr>
    </w:div>
    <w:div w:id="788550227">
      <w:bodyDiv w:val="1"/>
      <w:marLeft w:val="0"/>
      <w:marRight w:val="0"/>
      <w:marTop w:val="0"/>
      <w:marBottom w:val="0"/>
      <w:divBdr>
        <w:top w:val="none" w:sz="0" w:space="0" w:color="auto"/>
        <w:left w:val="none" w:sz="0" w:space="0" w:color="auto"/>
        <w:bottom w:val="none" w:sz="0" w:space="0" w:color="auto"/>
        <w:right w:val="none" w:sz="0" w:space="0" w:color="auto"/>
      </w:divBdr>
    </w:div>
    <w:div w:id="828864112">
      <w:bodyDiv w:val="1"/>
      <w:marLeft w:val="0"/>
      <w:marRight w:val="0"/>
      <w:marTop w:val="0"/>
      <w:marBottom w:val="0"/>
      <w:divBdr>
        <w:top w:val="none" w:sz="0" w:space="0" w:color="auto"/>
        <w:left w:val="none" w:sz="0" w:space="0" w:color="auto"/>
        <w:bottom w:val="none" w:sz="0" w:space="0" w:color="auto"/>
        <w:right w:val="none" w:sz="0" w:space="0" w:color="auto"/>
      </w:divBdr>
    </w:div>
    <w:div w:id="942687219">
      <w:bodyDiv w:val="1"/>
      <w:marLeft w:val="0"/>
      <w:marRight w:val="0"/>
      <w:marTop w:val="0"/>
      <w:marBottom w:val="0"/>
      <w:divBdr>
        <w:top w:val="none" w:sz="0" w:space="0" w:color="auto"/>
        <w:left w:val="none" w:sz="0" w:space="0" w:color="auto"/>
        <w:bottom w:val="none" w:sz="0" w:space="0" w:color="auto"/>
        <w:right w:val="none" w:sz="0" w:space="0" w:color="auto"/>
      </w:divBdr>
    </w:div>
    <w:div w:id="956790495">
      <w:bodyDiv w:val="1"/>
      <w:marLeft w:val="0"/>
      <w:marRight w:val="0"/>
      <w:marTop w:val="0"/>
      <w:marBottom w:val="0"/>
      <w:divBdr>
        <w:top w:val="none" w:sz="0" w:space="0" w:color="auto"/>
        <w:left w:val="none" w:sz="0" w:space="0" w:color="auto"/>
        <w:bottom w:val="none" w:sz="0" w:space="0" w:color="auto"/>
        <w:right w:val="none" w:sz="0" w:space="0" w:color="auto"/>
      </w:divBdr>
    </w:div>
    <w:div w:id="1094519064">
      <w:bodyDiv w:val="1"/>
      <w:marLeft w:val="0"/>
      <w:marRight w:val="0"/>
      <w:marTop w:val="0"/>
      <w:marBottom w:val="0"/>
      <w:divBdr>
        <w:top w:val="none" w:sz="0" w:space="0" w:color="auto"/>
        <w:left w:val="none" w:sz="0" w:space="0" w:color="auto"/>
        <w:bottom w:val="none" w:sz="0" w:space="0" w:color="auto"/>
        <w:right w:val="none" w:sz="0" w:space="0" w:color="auto"/>
      </w:divBdr>
    </w:div>
    <w:div w:id="1108500904">
      <w:bodyDiv w:val="1"/>
      <w:marLeft w:val="0"/>
      <w:marRight w:val="0"/>
      <w:marTop w:val="0"/>
      <w:marBottom w:val="0"/>
      <w:divBdr>
        <w:top w:val="none" w:sz="0" w:space="0" w:color="auto"/>
        <w:left w:val="none" w:sz="0" w:space="0" w:color="auto"/>
        <w:bottom w:val="none" w:sz="0" w:space="0" w:color="auto"/>
        <w:right w:val="none" w:sz="0" w:space="0" w:color="auto"/>
      </w:divBdr>
    </w:div>
    <w:div w:id="1114594771">
      <w:bodyDiv w:val="1"/>
      <w:marLeft w:val="0"/>
      <w:marRight w:val="0"/>
      <w:marTop w:val="0"/>
      <w:marBottom w:val="0"/>
      <w:divBdr>
        <w:top w:val="none" w:sz="0" w:space="0" w:color="auto"/>
        <w:left w:val="none" w:sz="0" w:space="0" w:color="auto"/>
        <w:bottom w:val="none" w:sz="0" w:space="0" w:color="auto"/>
        <w:right w:val="none" w:sz="0" w:space="0" w:color="auto"/>
      </w:divBdr>
    </w:div>
    <w:div w:id="1201632219">
      <w:bodyDiv w:val="1"/>
      <w:marLeft w:val="0"/>
      <w:marRight w:val="0"/>
      <w:marTop w:val="0"/>
      <w:marBottom w:val="0"/>
      <w:divBdr>
        <w:top w:val="none" w:sz="0" w:space="0" w:color="auto"/>
        <w:left w:val="none" w:sz="0" w:space="0" w:color="auto"/>
        <w:bottom w:val="none" w:sz="0" w:space="0" w:color="auto"/>
        <w:right w:val="none" w:sz="0" w:space="0" w:color="auto"/>
      </w:divBdr>
    </w:div>
    <w:div w:id="1301184454">
      <w:bodyDiv w:val="1"/>
      <w:marLeft w:val="0"/>
      <w:marRight w:val="0"/>
      <w:marTop w:val="0"/>
      <w:marBottom w:val="0"/>
      <w:divBdr>
        <w:top w:val="none" w:sz="0" w:space="0" w:color="auto"/>
        <w:left w:val="none" w:sz="0" w:space="0" w:color="auto"/>
        <w:bottom w:val="none" w:sz="0" w:space="0" w:color="auto"/>
        <w:right w:val="none" w:sz="0" w:space="0" w:color="auto"/>
      </w:divBdr>
    </w:div>
    <w:div w:id="1310211071">
      <w:bodyDiv w:val="1"/>
      <w:marLeft w:val="0"/>
      <w:marRight w:val="0"/>
      <w:marTop w:val="0"/>
      <w:marBottom w:val="0"/>
      <w:divBdr>
        <w:top w:val="none" w:sz="0" w:space="0" w:color="auto"/>
        <w:left w:val="none" w:sz="0" w:space="0" w:color="auto"/>
        <w:bottom w:val="none" w:sz="0" w:space="0" w:color="auto"/>
        <w:right w:val="none" w:sz="0" w:space="0" w:color="auto"/>
      </w:divBdr>
    </w:div>
    <w:div w:id="1412507097">
      <w:bodyDiv w:val="1"/>
      <w:marLeft w:val="0"/>
      <w:marRight w:val="0"/>
      <w:marTop w:val="0"/>
      <w:marBottom w:val="0"/>
      <w:divBdr>
        <w:top w:val="none" w:sz="0" w:space="0" w:color="auto"/>
        <w:left w:val="none" w:sz="0" w:space="0" w:color="auto"/>
        <w:bottom w:val="none" w:sz="0" w:space="0" w:color="auto"/>
        <w:right w:val="none" w:sz="0" w:space="0" w:color="auto"/>
      </w:divBdr>
    </w:div>
    <w:div w:id="1465738053">
      <w:bodyDiv w:val="1"/>
      <w:marLeft w:val="0"/>
      <w:marRight w:val="0"/>
      <w:marTop w:val="0"/>
      <w:marBottom w:val="0"/>
      <w:divBdr>
        <w:top w:val="none" w:sz="0" w:space="0" w:color="auto"/>
        <w:left w:val="none" w:sz="0" w:space="0" w:color="auto"/>
        <w:bottom w:val="none" w:sz="0" w:space="0" w:color="auto"/>
        <w:right w:val="none" w:sz="0" w:space="0" w:color="auto"/>
      </w:divBdr>
    </w:div>
    <w:div w:id="1487673738">
      <w:bodyDiv w:val="1"/>
      <w:marLeft w:val="0"/>
      <w:marRight w:val="0"/>
      <w:marTop w:val="0"/>
      <w:marBottom w:val="0"/>
      <w:divBdr>
        <w:top w:val="none" w:sz="0" w:space="0" w:color="auto"/>
        <w:left w:val="none" w:sz="0" w:space="0" w:color="auto"/>
        <w:bottom w:val="none" w:sz="0" w:space="0" w:color="auto"/>
        <w:right w:val="none" w:sz="0" w:space="0" w:color="auto"/>
      </w:divBdr>
    </w:div>
    <w:div w:id="1724403452">
      <w:bodyDiv w:val="1"/>
      <w:marLeft w:val="0"/>
      <w:marRight w:val="0"/>
      <w:marTop w:val="0"/>
      <w:marBottom w:val="0"/>
      <w:divBdr>
        <w:top w:val="none" w:sz="0" w:space="0" w:color="auto"/>
        <w:left w:val="none" w:sz="0" w:space="0" w:color="auto"/>
        <w:bottom w:val="none" w:sz="0" w:space="0" w:color="auto"/>
        <w:right w:val="none" w:sz="0" w:space="0" w:color="auto"/>
      </w:divBdr>
    </w:div>
    <w:div w:id="1755054428">
      <w:bodyDiv w:val="1"/>
      <w:marLeft w:val="0"/>
      <w:marRight w:val="0"/>
      <w:marTop w:val="0"/>
      <w:marBottom w:val="0"/>
      <w:divBdr>
        <w:top w:val="none" w:sz="0" w:space="0" w:color="auto"/>
        <w:left w:val="none" w:sz="0" w:space="0" w:color="auto"/>
        <w:bottom w:val="none" w:sz="0" w:space="0" w:color="auto"/>
        <w:right w:val="none" w:sz="0" w:space="0" w:color="auto"/>
      </w:divBdr>
    </w:div>
    <w:div w:id="1792746526">
      <w:bodyDiv w:val="1"/>
      <w:marLeft w:val="0"/>
      <w:marRight w:val="0"/>
      <w:marTop w:val="0"/>
      <w:marBottom w:val="0"/>
      <w:divBdr>
        <w:top w:val="none" w:sz="0" w:space="0" w:color="auto"/>
        <w:left w:val="none" w:sz="0" w:space="0" w:color="auto"/>
        <w:bottom w:val="none" w:sz="0" w:space="0" w:color="auto"/>
        <w:right w:val="none" w:sz="0" w:space="0" w:color="auto"/>
      </w:divBdr>
    </w:div>
    <w:div w:id="1866363477">
      <w:bodyDiv w:val="1"/>
      <w:marLeft w:val="0"/>
      <w:marRight w:val="0"/>
      <w:marTop w:val="0"/>
      <w:marBottom w:val="0"/>
      <w:divBdr>
        <w:top w:val="none" w:sz="0" w:space="0" w:color="auto"/>
        <w:left w:val="none" w:sz="0" w:space="0" w:color="auto"/>
        <w:bottom w:val="none" w:sz="0" w:space="0" w:color="auto"/>
        <w:right w:val="none" w:sz="0" w:space="0" w:color="auto"/>
      </w:divBdr>
    </w:div>
    <w:div w:id="1996297859">
      <w:bodyDiv w:val="1"/>
      <w:marLeft w:val="0"/>
      <w:marRight w:val="0"/>
      <w:marTop w:val="0"/>
      <w:marBottom w:val="0"/>
      <w:divBdr>
        <w:top w:val="none" w:sz="0" w:space="0" w:color="auto"/>
        <w:left w:val="none" w:sz="0" w:space="0" w:color="auto"/>
        <w:bottom w:val="none" w:sz="0" w:space="0" w:color="auto"/>
        <w:right w:val="none" w:sz="0" w:space="0" w:color="auto"/>
      </w:divBdr>
    </w:div>
    <w:div w:id="1997949254">
      <w:bodyDiv w:val="1"/>
      <w:marLeft w:val="0"/>
      <w:marRight w:val="0"/>
      <w:marTop w:val="0"/>
      <w:marBottom w:val="0"/>
      <w:divBdr>
        <w:top w:val="none" w:sz="0" w:space="0" w:color="auto"/>
        <w:left w:val="none" w:sz="0" w:space="0" w:color="auto"/>
        <w:bottom w:val="none" w:sz="0" w:space="0" w:color="auto"/>
        <w:right w:val="none" w:sz="0" w:space="0" w:color="auto"/>
      </w:divBdr>
    </w:div>
    <w:div w:id="2057268852">
      <w:bodyDiv w:val="1"/>
      <w:marLeft w:val="0"/>
      <w:marRight w:val="0"/>
      <w:marTop w:val="0"/>
      <w:marBottom w:val="0"/>
      <w:divBdr>
        <w:top w:val="none" w:sz="0" w:space="0" w:color="auto"/>
        <w:left w:val="none" w:sz="0" w:space="0" w:color="auto"/>
        <w:bottom w:val="none" w:sz="0" w:space="0" w:color="auto"/>
        <w:right w:val="none" w:sz="0" w:space="0" w:color="auto"/>
      </w:divBdr>
    </w:div>
    <w:div w:id="2100830571">
      <w:bodyDiv w:val="1"/>
      <w:marLeft w:val="0"/>
      <w:marRight w:val="0"/>
      <w:marTop w:val="0"/>
      <w:marBottom w:val="0"/>
      <w:divBdr>
        <w:top w:val="none" w:sz="0" w:space="0" w:color="auto"/>
        <w:left w:val="none" w:sz="0" w:space="0" w:color="auto"/>
        <w:bottom w:val="none" w:sz="0" w:space="0" w:color="auto"/>
        <w:right w:val="none" w:sz="0" w:space="0" w:color="auto"/>
      </w:divBdr>
    </w:div>
    <w:div w:id="2106488935">
      <w:bodyDiv w:val="1"/>
      <w:marLeft w:val="0"/>
      <w:marRight w:val="0"/>
      <w:marTop w:val="0"/>
      <w:marBottom w:val="0"/>
      <w:divBdr>
        <w:top w:val="none" w:sz="0" w:space="0" w:color="auto"/>
        <w:left w:val="none" w:sz="0" w:space="0" w:color="auto"/>
        <w:bottom w:val="none" w:sz="0" w:space="0" w:color="auto"/>
        <w:right w:val="none" w:sz="0" w:space="0" w:color="auto"/>
      </w:divBdr>
    </w:div>
    <w:div w:id="2145152699">
      <w:bodyDiv w:val="1"/>
      <w:marLeft w:val="0"/>
      <w:marRight w:val="0"/>
      <w:marTop w:val="0"/>
      <w:marBottom w:val="0"/>
      <w:divBdr>
        <w:top w:val="none" w:sz="0" w:space="0" w:color="auto"/>
        <w:left w:val="none" w:sz="0" w:space="0" w:color="auto"/>
        <w:bottom w:val="none" w:sz="0" w:space="0" w:color="auto"/>
        <w:right w:val="none" w:sz="0" w:space="0" w:color="auto"/>
      </w:divBdr>
    </w:div>
    <w:div w:id="21467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082B-973F-47C7-BDB1-309307B6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Phòng Nghiệp vụ 2 - Thanh tra tỉnh</vt:lpstr>
    </vt:vector>
  </TitlesOfParts>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2 - Thanh tra tỉnh</dc:title>
  <dc:creator>ADMIN</dc:creator>
  <cp:lastModifiedBy>Vanxuan</cp:lastModifiedBy>
  <cp:revision>6</cp:revision>
  <cp:lastPrinted>2020-09-28T02:05:00Z</cp:lastPrinted>
  <dcterms:created xsi:type="dcterms:W3CDTF">2021-10-13T10:35:00Z</dcterms:created>
  <dcterms:modified xsi:type="dcterms:W3CDTF">2021-10-14T00:52:00Z</dcterms:modified>
</cp:coreProperties>
</file>